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0" w:after="0"/>
        <w:ind w:firstLine="0"/>
        <w:rPr>
          <w:rFonts w:ascii="宋体" w:hAnsi="宋体"/>
        </w:rPr>
      </w:pPr>
      <w:bookmarkStart w:id="247" w:name="_GoBack"/>
      <w:bookmarkEnd w:id="247"/>
    </w:p>
    <w:p>
      <w:pPr>
        <w:pStyle w:val="16"/>
        <w:ind w:firstLine="0"/>
        <w:jc w:val="center"/>
        <w:rPr>
          <w:rFonts w:eastAsia="黑体"/>
          <w:b/>
          <w:bCs/>
          <w:sz w:val="84"/>
        </w:rPr>
      </w:pPr>
    </w:p>
    <w:p>
      <w:pPr>
        <w:pStyle w:val="16"/>
        <w:ind w:firstLine="0"/>
        <w:jc w:val="center"/>
        <w:rPr>
          <w:rFonts w:eastAsia="黑体"/>
          <w:b/>
          <w:bCs/>
          <w:sz w:val="84"/>
        </w:rPr>
      </w:pPr>
      <w:r>
        <w:rPr>
          <w:rFonts w:hint="eastAsia" w:eastAsia="黑体"/>
          <w:b/>
          <w:bCs/>
          <w:sz w:val="84"/>
        </w:rPr>
        <w:t>招　标　文　件</w:t>
      </w:r>
    </w:p>
    <w:p>
      <w:pPr>
        <w:pStyle w:val="16"/>
        <w:ind w:firstLine="0"/>
        <w:rPr>
          <w:b/>
          <w:bCs/>
          <w:sz w:val="32"/>
        </w:rPr>
      </w:pPr>
    </w:p>
    <w:p>
      <w:pPr>
        <w:pStyle w:val="16"/>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包八：业务财务一体化管理子系统</w:t>
      </w:r>
    </w:p>
    <w:p>
      <w:pPr>
        <w:pStyle w:val="16"/>
        <w:ind w:firstLine="0"/>
        <w:jc w:val="center"/>
        <w:rPr>
          <w:b/>
          <w:bCs/>
          <w:sz w:val="32"/>
        </w:rPr>
      </w:pPr>
    </w:p>
    <w:p>
      <w:pPr>
        <w:pStyle w:val="16"/>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16"/>
        <w:spacing w:before="0" w:after="0"/>
        <w:ind w:firstLine="0"/>
        <w:rPr>
          <w:rFonts w:ascii="宋体" w:hAnsi="宋体"/>
        </w:rPr>
      </w:pPr>
    </w:p>
    <w:p>
      <w:pPr>
        <w:pStyle w:val="16"/>
        <w:spacing w:before="0" w:after="0"/>
        <w:ind w:firstLine="0"/>
        <w:rPr>
          <w:rFonts w:ascii="宋体" w:hAnsi="宋体"/>
        </w:rPr>
      </w:pPr>
      <w:r>
        <w:rPr>
          <w:rFonts w:hint="eastAsia" w:ascii="宋体" w:hAnsi="宋体"/>
        </w:rPr>
        <w:t xml:space="preserve">                            </w:t>
      </w:r>
    </w:p>
    <w:p>
      <w:pPr>
        <w:pStyle w:val="16"/>
        <w:spacing w:before="0" w:after="0"/>
        <w:ind w:firstLine="0"/>
        <w:rPr>
          <w:rFonts w:ascii="宋体" w:hAnsi="宋体"/>
        </w:rPr>
      </w:pPr>
    </w:p>
    <w:p>
      <w:pPr>
        <w:pStyle w:val="16"/>
        <w:spacing w:before="0" w:after="0"/>
        <w:ind w:firstLine="0"/>
        <w:rPr>
          <w:rFonts w:ascii="宋体" w:hAnsi="宋体"/>
        </w:rPr>
      </w:pPr>
    </w:p>
    <w:p>
      <w:pPr>
        <w:pStyle w:val="16"/>
        <w:spacing w:before="0" w:after="0"/>
        <w:ind w:firstLine="0"/>
        <w:rPr>
          <w:rFonts w:ascii="宋体" w:hAnsi="宋体"/>
        </w:rPr>
      </w:pPr>
    </w:p>
    <w:p>
      <w:pPr>
        <w:pStyle w:val="16"/>
        <w:ind w:firstLine="0"/>
        <w:jc w:val="center"/>
        <w:rPr>
          <w:b/>
          <w:bCs/>
          <w:sz w:val="32"/>
        </w:rPr>
      </w:pPr>
      <w:r>
        <w:rPr>
          <w:rFonts w:hint="eastAsia"/>
          <w:b/>
          <w:bCs/>
          <w:sz w:val="32"/>
        </w:rPr>
        <w:t>新疆维吾尔自治区政府服务和公共资源交易中心</w:t>
      </w:r>
    </w:p>
    <w:p>
      <w:pPr>
        <w:pStyle w:val="16"/>
        <w:ind w:firstLine="0"/>
        <w:jc w:val="center"/>
      </w:pPr>
      <w:r>
        <w:rPr>
          <w:rFonts w:hint="eastAsia"/>
          <w:b/>
          <w:bCs/>
          <w:sz w:val="32"/>
        </w:rPr>
        <w:t>2020年8月5</w:t>
      </w:r>
      <w:r>
        <w:rPr>
          <w:b/>
          <w:bCs/>
          <w:sz w:val="32"/>
        </w:rPr>
        <w:t>日</w:t>
      </w:r>
    </w:p>
    <w:p>
      <w:pPr>
        <w:pStyle w:val="16"/>
        <w:ind w:firstLine="0"/>
        <w:jc w:val="center"/>
      </w:pPr>
    </w:p>
    <w:p>
      <w:bookmarkStart w:id="0" w:name="_Toc120614210"/>
      <w:bookmarkStart w:id="1" w:name="_Toc494375077"/>
      <w:bookmarkStart w:id="2" w:name="_Toc523127445"/>
      <w:bookmarkStart w:id="3" w:name="_Toc20823272"/>
      <w:bookmarkStart w:id="4" w:name="_Toc16938516"/>
      <w:bookmarkStart w:id="5" w:name="_Toc513029200"/>
      <w:bookmarkStart w:id="6" w:name="_Toc479757206"/>
    </w:p>
    <w:p>
      <w:pPr>
        <w:pStyle w:val="17"/>
        <w:jc w:val="center"/>
        <w:rPr>
          <w:color w:val="auto"/>
          <w:sz w:val="44"/>
          <w:szCs w:val="44"/>
        </w:rPr>
      </w:pPr>
      <w:r>
        <w:rPr>
          <w:color w:val="auto"/>
          <w:sz w:val="44"/>
          <w:szCs w:val="44"/>
          <w:lang w:val="zh-CN"/>
        </w:rPr>
        <w:t>目录</w:t>
      </w:r>
    </w:p>
    <w:p>
      <w:pPr>
        <w:pStyle w:val="12"/>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p>
    <w:p>
      <w:pPr>
        <w:pStyle w:val="12"/>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5"/>
          <w:rFonts w:hint="eastAsia" w:ascii="黑体" w:hAnsi="黑体" w:eastAsia="黑体"/>
          <w:color w:val="auto"/>
          <w:sz w:val="32"/>
          <w:szCs w:val="32"/>
        </w:rPr>
        <w:t>第一章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投标邀请</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_Toc534816625 \h </w:instrText>
      </w:r>
      <w:r>
        <w:rPr>
          <w:rFonts w:ascii="黑体" w:hAnsi="黑体" w:eastAsia="黑体"/>
          <w:sz w:val="32"/>
          <w:szCs w:val="32"/>
        </w:rPr>
        <w:fldChar w:fldCharType="separate"/>
      </w:r>
      <w:r>
        <w:rPr>
          <w:rFonts w:ascii="黑体" w:hAnsi="黑体" w:eastAsia="黑体"/>
          <w:sz w:val="32"/>
          <w:szCs w:val="32"/>
        </w:rPr>
        <w:t>2</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5"/>
          <w:rFonts w:hint="eastAsia" w:ascii="黑体" w:hAnsi="黑体" w:eastAsia="黑体"/>
          <w:color w:val="auto"/>
          <w:sz w:val="32"/>
          <w:szCs w:val="32"/>
        </w:rPr>
        <w:t>第二章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投标人须知</w:t>
      </w:r>
      <w:r>
        <w:rPr>
          <w:rFonts w:ascii="黑体" w:hAnsi="黑体" w:eastAsia="黑体"/>
          <w:sz w:val="32"/>
          <w:szCs w:val="32"/>
        </w:rPr>
        <w:tab/>
      </w:r>
      <w:r>
        <w:rPr>
          <w:rFonts w:hint="eastAsia" w:ascii="黑体" w:hAnsi="黑体" w:eastAsia="黑体"/>
          <w:sz w:val="32"/>
          <w:szCs w:val="32"/>
        </w:rPr>
        <w:t>5</w:t>
      </w:r>
      <w:r>
        <w:rPr>
          <w:rFonts w:hint="eastAsia"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5"/>
          <w:rFonts w:hint="eastAsia" w:ascii="黑体" w:hAnsi="黑体" w:eastAsia="黑体"/>
          <w:color w:val="auto"/>
          <w:sz w:val="32"/>
          <w:szCs w:val="32"/>
        </w:rPr>
        <w:t>第三章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合同文本</w:t>
      </w:r>
      <w:r>
        <w:rPr>
          <w:rFonts w:ascii="黑体" w:hAnsi="黑体" w:eastAsia="黑体"/>
          <w:sz w:val="32"/>
          <w:szCs w:val="32"/>
        </w:rPr>
        <w:tab/>
      </w:r>
      <w:r>
        <w:rPr>
          <w:rFonts w:hint="eastAsia" w:ascii="黑体" w:hAnsi="黑体" w:eastAsia="黑体"/>
          <w:sz w:val="32"/>
          <w:szCs w:val="32"/>
        </w:rPr>
        <w:t>2</w:t>
      </w:r>
      <w:r>
        <w:rPr>
          <w:rFonts w:hint="eastAsia" w:ascii="黑体" w:hAnsi="黑体" w:eastAsia="黑体"/>
          <w:sz w:val="32"/>
          <w:szCs w:val="32"/>
        </w:rPr>
        <w:fldChar w:fldCharType="end"/>
      </w:r>
      <w:r>
        <w:rPr>
          <w:rFonts w:hint="eastAsia" w:ascii="黑体" w:hAnsi="黑体" w:eastAsia="黑体"/>
          <w:sz w:val="32"/>
          <w:szCs w:val="32"/>
        </w:rPr>
        <w:t>0</w:t>
      </w:r>
    </w:p>
    <w:p>
      <w:pPr>
        <w:pStyle w:val="12"/>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5"/>
          <w:rFonts w:hint="eastAsia" w:ascii="黑体" w:hAnsi="黑体" w:eastAsia="黑体"/>
          <w:color w:val="auto"/>
          <w:sz w:val="32"/>
          <w:szCs w:val="32"/>
        </w:rPr>
        <w:t>第四章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7</w:t>
      </w:r>
    </w:p>
    <w:p>
      <w:pPr>
        <w:pStyle w:val="12"/>
        <w:tabs>
          <w:tab w:val="right" w:leader="dot" w:pos="8943"/>
        </w:tabs>
        <w:rPr>
          <w:rFonts w:ascii="黑体" w:hAnsi="黑体" w:eastAsia="黑体"/>
          <w:sz w:val="32"/>
          <w:szCs w:val="32"/>
        </w:rPr>
      </w:pPr>
      <w:r>
        <w:fldChar w:fldCharType="begin"/>
      </w:r>
      <w:r>
        <w:instrText xml:space="preserve"> HYPERLINK \l "_Toc534816639" </w:instrText>
      </w:r>
      <w:r>
        <w:fldChar w:fldCharType="separate"/>
      </w:r>
      <w:r>
        <w:rPr>
          <w:rStyle w:val="15"/>
          <w:rFonts w:hint="eastAsia" w:ascii="黑体" w:hAnsi="黑体" w:eastAsia="黑体"/>
          <w:color w:val="auto"/>
          <w:sz w:val="32"/>
          <w:szCs w:val="32"/>
        </w:rPr>
        <w:t>第五章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评标方法与评标标准</w:t>
      </w:r>
      <w:r>
        <w:rPr>
          <w:rFonts w:ascii="黑体" w:hAnsi="黑体" w:eastAsia="黑体"/>
          <w:sz w:val="32"/>
          <w:szCs w:val="32"/>
        </w:rPr>
        <w:tab/>
      </w:r>
      <w:r>
        <w:rPr>
          <w:rFonts w:ascii="黑体" w:hAnsi="黑体" w:eastAsia="黑体"/>
          <w:sz w:val="32"/>
          <w:szCs w:val="32"/>
        </w:rPr>
        <w:fldChar w:fldCharType="end"/>
      </w:r>
      <w:r>
        <w:rPr>
          <w:rFonts w:hint="eastAsia" w:ascii="黑体" w:hAnsi="黑体" w:eastAsia="黑体"/>
          <w:sz w:val="32"/>
          <w:szCs w:val="32"/>
        </w:rPr>
        <w:t>72</w:t>
      </w:r>
    </w:p>
    <w:p>
      <w:pPr>
        <w:pStyle w:val="12"/>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5"/>
          <w:rFonts w:hint="eastAsia" w:ascii="黑体" w:hAnsi="黑体" w:eastAsia="黑体"/>
          <w:color w:val="auto"/>
          <w:sz w:val="32"/>
          <w:szCs w:val="32"/>
        </w:rPr>
        <w:t>第六章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75</w:t>
      </w:r>
      <w:r>
        <w:rPr>
          <w:rFonts w:hint="eastAsia"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rPr>
          <w:rFonts w:ascii="黑体" w:hAnsi="黑体" w:eastAsia="黑体"/>
          <w:b/>
          <w:bCs/>
          <w:sz w:val="32"/>
          <w:szCs w:val="32"/>
          <w:lang w:val="zh-CN"/>
        </w:rPr>
        <w:fldChar w:fldCharType="end"/>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725596"/>
      <w:bookmarkStart w:id="8" w:name="_Toc534816625"/>
    </w:p>
    <w:p>
      <w:pPr>
        <w:pStyle w:val="3"/>
      </w:pPr>
      <w:r>
        <w:rPr>
          <w:rFonts w:hint="eastAsia"/>
        </w:rPr>
        <w:t xml:space="preserve">第一章  </w:t>
      </w:r>
      <w:bookmarkEnd w:id="0"/>
      <w:r>
        <w:rPr>
          <w:rFonts w:hint="eastAsia"/>
        </w:rPr>
        <w:t>投标邀请</w:t>
      </w:r>
      <w:bookmarkEnd w:id="1"/>
      <w:bookmarkEnd w:id="7"/>
      <w:bookmarkEnd w:id="8"/>
    </w:p>
    <w:p>
      <w:pPr>
        <w:spacing w:before="100" w:beforeAutospacing="1" w:after="100" w:afterAutospacing="1"/>
        <w:rPr>
          <w:rFonts w:hAnsi="宋体"/>
        </w:rPr>
      </w:pPr>
      <w:r>
        <w:rPr>
          <w:rFonts w:hint="eastAsia" w:hAnsi="宋体"/>
        </w:rPr>
        <w:t xml:space="preserve">   新疆维吾尔自治区政府服务和公共资源交易中心现就</w:t>
      </w:r>
      <w:r>
        <w:rPr>
          <w:rFonts w:hint="eastAsia" w:ascii="Arial" w:hAnsi="宋体"/>
        </w:rPr>
        <w:t>（新疆维吾尔自治区医疗保障局）所需的</w:t>
      </w:r>
      <w:r>
        <w:rPr>
          <w:rFonts w:hint="eastAsia" w:hAnsi="宋体"/>
        </w:rPr>
        <w:t>新疆维吾尔自治区医疗保障局医疗保障信息平台建设工程应用系统开发项目（ 包八：业务财务一体化管理子系统</w:t>
      </w:r>
      <w:r>
        <w:rPr>
          <w:rFonts w:hint="eastAsia" w:ascii="Arial" w:hAnsi="宋体"/>
        </w:rPr>
        <w:t>）</w:t>
      </w:r>
      <w:r>
        <w:rPr>
          <w:rFonts w:hint="eastAsia" w:hAnsi="宋体"/>
        </w:rPr>
        <w:t>进行公开招标采购，欢迎符合相关条件的合格供应商投标。</w:t>
      </w:r>
    </w:p>
    <w:p>
      <w:pPr>
        <w:pStyle w:val="16"/>
        <w:ind w:firstLine="723" w:firstLineChars="300"/>
        <w:jc w:val="both"/>
        <w:rPr>
          <w:rFonts w:ascii="宋体" w:hAnsi="宋体"/>
          <w:b/>
          <w:bCs/>
        </w:rPr>
      </w:pPr>
      <w:r>
        <w:rPr>
          <w:rFonts w:hint="eastAsia" w:ascii="宋体" w:hAnsi="宋体"/>
          <w:b/>
          <w:bCs/>
        </w:rPr>
        <w:t>一、项目名称及编号</w:t>
      </w:r>
    </w:p>
    <w:p>
      <w:pPr>
        <w:spacing w:before="100" w:beforeAutospacing="1" w:after="100" w:afterAutospacing="1"/>
        <w:rPr>
          <w:rFonts w:ascii="Arial" w:hAnsi="宋体"/>
        </w:rPr>
      </w:pPr>
      <w:r>
        <w:rPr>
          <w:rFonts w:hint="eastAsia" w:hAnsi="宋体"/>
          <w:sz w:val="24"/>
          <w:szCs w:val="24"/>
        </w:rPr>
        <w:t xml:space="preserve">    项目名称：新疆维吾尔自治区医疗保障局医疗保障信息平台建设工程应用系统开发项目（ 包八：业务财务一体化管理子系统</w:t>
      </w:r>
      <w:r>
        <w:rPr>
          <w:rFonts w:hint="eastAsia" w:hAnsi="宋体"/>
        </w:rPr>
        <w:t>）</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18"/>
        <w:adjustRightInd w:val="0"/>
        <w:snapToGrid w:val="0"/>
        <w:spacing w:after="0" w:line="293" w:lineRule="auto"/>
        <w:ind w:firstLine="480"/>
        <w:jc w:val="both"/>
        <w:rPr>
          <w:rFonts w:ascii="Times New Roman" w:hAnsi="Times New Roman"/>
        </w:rPr>
      </w:pPr>
      <w:r>
        <w:rPr>
          <w:rFonts w:hint="eastAsia" w:ascii="Times New Roman" w:hAnsi="Times New Roman"/>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业务财务一体化管理子系统按照国家建设指南要求基于HSAF框架开发，为自治区医保业务和财务的一体化管理提供支撑。</w:t>
      </w:r>
    </w:p>
    <w:p>
      <w:pPr>
        <w:pStyle w:val="18"/>
        <w:adjustRightInd w:val="0"/>
        <w:snapToGrid w:val="0"/>
        <w:spacing w:after="0" w:line="293" w:lineRule="auto"/>
        <w:ind w:firstLine="480"/>
        <w:jc w:val="both"/>
        <w:rPr>
          <w:rFonts w:ascii="宋体" w:hAnsi="宋体"/>
          <w:bCs/>
        </w:rPr>
      </w:pPr>
      <w:r>
        <w:rPr>
          <w:rFonts w:hint="eastAsia" w:ascii="宋体" w:hAnsi="宋体"/>
          <w:bCs/>
        </w:rPr>
        <w:t>（二）本项目采购预算</w:t>
      </w:r>
      <w:r>
        <w:rPr>
          <w:rFonts w:hint="eastAsia" w:hAnsi="宋体"/>
          <w:szCs w:val="24"/>
        </w:rPr>
        <w:t>为1418.3万元。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最高限价，最高限价为1418.3万元。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bookmarkEnd w:id="2"/>
    <w:bookmarkEnd w:id="3"/>
    <w:bookmarkEnd w:id="4"/>
    <w:bookmarkEnd w:id="5"/>
    <w:bookmarkEnd w:id="6"/>
    <w:p>
      <w:pPr>
        <w:snapToGrid w:val="0"/>
        <w:spacing w:line="560" w:lineRule="exact"/>
        <w:ind w:firstLine="480" w:firstLineChars="200"/>
        <w:rPr>
          <w:rFonts w:ascii="仿宋_GB2312" w:hAnsi="宋体" w:cs="Arial"/>
          <w:sz w:val="24"/>
        </w:rPr>
      </w:pPr>
      <w:bookmarkStart w:id="9" w:name="_Toc120614211"/>
      <w:bookmarkStart w:id="10" w:name="_Toc534816626"/>
      <w:bookmarkStart w:id="11" w:name="_Toc534725597"/>
      <w:bookmarkStart w:id="12" w:name="_Toc120614221"/>
      <w:bookmarkStart w:id="13" w:name="_Toc20823314"/>
      <w:bookmarkStart w:id="14" w:name="_Toc16938558"/>
      <w:bookmarkStart w:id="15" w:name="_Toc513029242"/>
      <w:bookmarkStart w:id="16" w:name="_Toc479757207"/>
      <w:bookmarkStart w:id="17" w:name="_Toc494375079"/>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（二）</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年9月3日上午11:30-12:00分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2020年9月3日上午12:00分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rPr>
        <w:t xml:space="preserve">2020年9月3日上午12:00分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spacing w:line="560" w:lineRule="exact"/>
        <w:ind w:firstLine="480" w:firstLineChars="200"/>
        <w:rPr>
          <w:rFonts w:hint="eastAsia"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widowControl/>
        <w:jc w:val="left"/>
        <w:rPr>
          <w:rFonts w:ascii="宋体" w:hAnsi="宋体" w:eastAsia="黑体" w:cs="Arial"/>
          <w:b/>
          <w:bCs/>
          <w:sz w:val="24"/>
          <w:szCs w:val="44"/>
        </w:rPr>
      </w:pPr>
      <w:r>
        <w:rPr>
          <w:rFonts w:ascii="宋体" w:hAnsi="宋体"/>
          <w:sz w:val="24"/>
        </w:rPr>
        <w:br w:type="page"/>
      </w:r>
    </w:p>
    <w:p>
      <w:pPr>
        <w:pStyle w:val="3"/>
        <w:ind w:firstLine="2429" w:firstLineChars="550"/>
        <w:jc w:val="both"/>
        <w:rPr>
          <w:rFonts w:ascii="黑体"/>
        </w:rPr>
      </w:pPr>
    </w:p>
    <w:p>
      <w:pPr>
        <w:pStyle w:val="3"/>
        <w:ind w:firstLine="2429" w:firstLineChars="550"/>
        <w:jc w:val="both"/>
        <w:rPr>
          <w:rFonts w:ascii="黑体"/>
          <w:b w:val="0"/>
          <w:bCs w:val="0"/>
        </w:rPr>
      </w:pPr>
      <w:r>
        <w:rPr>
          <w:rFonts w:hint="eastAsia" w:ascii="黑体"/>
        </w:rPr>
        <w:t xml:space="preserve">第二章  </w:t>
      </w:r>
      <w:bookmarkEnd w:id="9"/>
      <w:bookmarkStart w:id="18" w:name="_Toc513029202"/>
      <w:bookmarkStart w:id="19" w:name="_Toc16938518"/>
      <w:bookmarkStart w:id="20" w:name="_Toc120614213"/>
      <w:bookmarkStart w:id="21" w:name="_Toc20823274"/>
      <w:r>
        <w:rPr>
          <w:rFonts w:hint="eastAsia" w:ascii="黑体"/>
        </w:rPr>
        <w:t>投标人须知</w:t>
      </w:r>
      <w:bookmarkEnd w:id="10"/>
      <w:bookmarkEnd w:id="11"/>
      <w:bookmarkEnd w:id="18"/>
      <w:bookmarkEnd w:id="19"/>
      <w:bookmarkEnd w:id="20"/>
      <w:bookmarkEnd w:id="21"/>
    </w:p>
    <w:p>
      <w:pPr>
        <w:pStyle w:val="4"/>
        <w:spacing w:beforeLines="50" w:afterLines="50" w:line="360" w:lineRule="auto"/>
        <w:ind w:firstLine="498" w:firstLineChars="155"/>
      </w:pPr>
      <w:bookmarkStart w:id="22" w:name="_Toc513029203"/>
      <w:bookmarkStart w:id="23" w:name="_Toc534816627"/>
      <w:bookmarkStart w:id="24" w:name="_Toc20823275"/>
      <w:bookmarkStart w:id="25" w:name="_Toc120614214"/>
      <w:bookmarkStart w:id="26" w:name="_Toc534725598"/>
      <w:bookmarkStart w:id="27" w:name="_Toc16938519"/>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20823276"/>
      <w:bookmarkStart w:id="31" w:name="_Toc16938520"/>
      <w:bookmarkStart w:id="32" w:name="_Toc513029204"/>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513029205"/>
      <w:bookmarkStart w:id="34" w:name="_Toc20823277"/>
      <w:bookmarkStart w:id="35" w:name="_Toc16938521"/>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513029206"/>
      <w:bookmarkStart w:id="37" w:name="_Toc20823278"/>
      <w:bookmarkStart w:id="38" w:name="_Toc16938522"/>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16938523"/>
      <w:bookmarkStart w:id="40" w:name="_Toc513029207"/>
      <w:bookmarkStart w:id="41" w:name="_Toc462564067"/>
      <w:bookmarkStart w:id="42" w:name="_Toc20823279"/>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20823281"/>
      <w:bookmarkStart w:id="44" w:name="_Toc513029209"/>
      <w:bookmarkStart w:id="45" w:name="_Toc534725599"/>
      <w:bookmarkStart w:id="46" w:name="_Toc16938525"/>
      <w:bookmarkStart w:id="47" w:name="_Toc120614215"/>
      <w:bookmarkStart w:id="48" w:name="_Toc534816628"/>
      <w:r>
        <w:rPr>
          <w:rFonts w:hint="eastAsia"/>
        </w:rPr>
        <w:t>二、招标文件</w:t>
      </w:r>
      <w:bookmarkEnd w:id="43"/>
      <w:bookmarkEnd w:id="44"/>
      <w:bookmarkEnd w:id="45"/>
      <w:bookmarkEnd w:id="46"/>
      <w:bookmarkEnd w:id="47"/>
      <w:bookmarkEnd w:id="48"/>
    </w:p>
    <w:p>
      <w:pPr>
        <w:pStyle w:val="5"/>
        <w:rPr>
          <w:b w:val="0"/>
        </w:rPr>
      </w:pPr>
      <w:bookmarkStart w:id="49" w:name="_Toc16938526"/>
      <w:bookmarkStart w:id="50" w:name="_Toc20823282"/>
      <w:bookmarkStart w:id="51" w:name="_Toc513029210"/>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513029211"/>
      <w:bookmarkStart w:id="53" w:name="_Toc16938527"/>
      <w:bookmarkStart w:id="54" w:name="_Toc20823283"/>
      <w:bookmarkStart w:id="55" w:name="_Toc462564070"/>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513029212"/>
      <w:bookmarkStart w:id="57" w:name="_Toc16938528"/>
      <w:bookmarkStart w:id="58" w:name="_Toc20823284"/>
      <w:bookmarkStart w:id="59" w:name="_Toc462564071"/>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513029213"/>
      <w:bookmarkStart w:id="61" w:name="_Toc534816629"/>
      <w:bookmarkStart w:id="62" w:name="_Toc16938529"/>
      <w:bookmarkStart w:id="63" w:name="_Toc462564072"/>
      <w:bookmarkStart w:id="64" w:name="_Toc20823285"/>
      <w:bookmarkStart w:id="65" w:name="_Toc534725600"/>
      <w:bookmarkStart w:id="66" w:name="_Toc120614216"/>
      <w:r>
        <w:rPr>
          <w:rFonts w:hint="eastAsia"/>
        </w:rPr>
        <w:t>三、投标文件的编制</w:t>
      </w:r>
      <w:bookmarkEnd w:id="60"/>
      <w:bookmarkEnd w:id="61"/>
      <w:bookmarkEnd w:id="62"/>
      <w:bookmarkEnd w:id="63"/>
      <w:bookmarkEnd w:id="64"/>
      <w:bookmarkEnd w:id="65"/>
      <w:bookmarkEnd w:id="66"/>
    </w:p>
    <w:p>
      <w:pPr>
        <w:pStyle w:val="5"/>
      </w:pPr>
      <w:bookmarkStart w:id="67" w:name="_Toc16938530"/>
      <w:bookmarkStart w:id="68" w:name="_Toc513029214"/>
      <w:bookmarkStart w:id="69" w:name="_Toc462564073"/>
      <w:bookmarkStart w:id="70" w:name="_Toc20823286"/>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462564074"/>
      <w:bookmarkStart w:id="72" w:name="_Toc20823287"/>
      <w:bookmarkStart w:id="73" w:name="_Toc513029215"/>
      <w:bookmarkStart w:id="74" w:name="_Toc16938531"/>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668975"/>
      <w:bookmarkEnd w:id="75"/>
      <w:bookmarkStart w:id="76" w:name="_Hlt26954838"/>
      <w:bookmarkEnd w:id="76"/>
      <w:bookmarkStart w:id="77" w:name="_Hlt26670360"/>
      <w:bookmarkEnd w:id="77"/>
      <w:bookmarkStart w:id="78" w:name="_Toc49090509"/>
      <w:bookmarkStart w:id="79" w:name="_Toc14577357"/>
      <w:bookmarkStart w:id="80" w:name="_Toc513029219"/>
      <w:bookmarkStart w:id="81" w:name="_Toc513029216"/>
      <w:bookmarkStart w:id="82" w:name="_Toc14577354"/>
      <w:bookmarkStart w:id="83" w:name="_Toc49090507"/>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670403"/>
      <w:bookmarkEnd w:id="88"/>
      <w:bookmarkStart w:id="89" w:name="_Hlt26668983"/>
      <w:bookmarkEnd w:id="89"/>
      <w:bookmarkStart w:id="90" w:name="_Hlt26954842"/>
      <w:bookmarkEnd w:id="90"/>
      <w:bookmarkStart w:id="91" w:name="_Hlt26670425"/>
      <w:bookmarkEnd w:id="91"/>
      <w:bookmarkStart w:id="92" w:name="_Hlt26954844"/>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954848"/>
      <w:bookmarkEnd w:id="93"/>
      <w:bookmarkStart w:id="94" w:name="_Hlt26954846"/>
      <w:bookmarkEnd w:id="94"/>
      <w:bookmarkStart w:id="95" w:name="_Hlt26670486"/>
      <w:bookmarkEnd w:id="95"/>
      <w:bookmarkStart w:id="96" w:name="_Hlt26954731"/>
      <w:bookmarkEnd w:id="96"/>
      <w:bookmarkStart w:id="97" w:name="_Hlt26670482"/>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14577359"/>
      <w:bookmarkStart w:id="99" w:name="_Toc49090510"/>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954734"/>
      <w:bookmarkEnd w:id="100"/>
      <w:bookmarkStart w:id="101" w:name="_Hlt26670489"/>
      <w:bookmarkEnd w:id="101"/>
      <w:bookmarkStart w:id="102" w:name="_Hlt26954850"/>
      <w:bookmarkEnd w:id="102"/>
      <w:bookmarkStart w:id="103" w:name="_Toc49090511"/>
      <w:bookmarkStart w:id="104" w:name="_Toc14577360"/>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739"/>
      <w:bookmarkEnd w:id="105"/>
      <w:bookmarkStart w:id="106" w:name="_Hlt26954852"/>
      <w:bookmarkEnd w:id="106"/>
      <w:bookmarkStart w:id="107" w:name="_Toc49090512"/>
      <w:bookmarkStart w:id="108" w:name="_Toc14577361"/>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120614217"/>
      <w:bookmarkStart w:id="110" w:name="_Toc534816630"/>
      <w:bookmarkStart w:id="111" w:name="_Toc20823296"/>
      <w:bookmarkStart w:id="112" w:name="_Toc16938540"/>
      <w:bookmarkStart w:id="113" w:name="_Toc513029224"/>
      <w:bookmarkStart w:id="114" w:name="_Toc534725601"/>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20823297"/>
      <w:bookmarkStart w:id="116" w:name="_Toc16938541"/>
      <w:bookmarkStart w:id="117" w:name="_Toc513029225"/>
      <w:bookmarkStart w:id="118" w:name="_Toc462564084"/>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20823298"/>
      <w:bookmarkStart w:id="120" w:name="_Toc16938542"/>
      <w:bookmarkStart w:id="121" w:name="_Toc513029226"/>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513029227"/>
      <w:bookmarkStart w:id="123" w:name="_Toc16938543"/>
      <w:bookmarkStart w:id="124" w:name="_Toc20823299"/>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16938544"/>
      <w:bookmarkStart w:id="126" w:name="_Toc513029228"/>
      <w:bookmarkStart w:id="127" w:name="_Toc20823300"/>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120614218"/>
      <w:bookmarkStart w:id="129" w:name="_Toc20823301"/>
      <w:bookmarkStart w:id="130" w:name="_Toc16938545"/>
      <w:bookmarkStart w:id="131" w:name="_Toc534816631"/>
      <w:bookmarkStart w:id="132" w:name="_Toc534725602"/>
      <w:bookmarkStart w:id="133" w:name="_Toc513029229"/>
      <w:r>
        <w:rPr>
          <w:rFonts w:hint="eastAsia"/>
        </w:rPr>
        <w:t>五、开标与评标</w:t>
      </w:r>
      <w:bookmarkEnd w:id="128"/>
      <w:bookmarkEnd w:id="129"/>
      <w:bookmarkEnd w:id="130"/>
      <w:bookmarkEnd w:id="131"/>
      <w:bookmarkEnd w:id="132"/>
      <w:bookmarkEnd w:id="133"/>
    </w:p>
    <w:p>
      <w:pPr>
        <w:pStyle w:val="5"/>
        <w:rPr>
          <w:b w:val="0"/>
        </w:rPr>
      </w:pPr>
      <w:bookmarkStart w:id="134" w:name="_Toc20823302"/>
      <w:bookmarkStart w:id="135" w:name="_Toc513029230"/>
      <w:bookmarkStart w:id="136" w:name="_Toc16938546"/>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513029231"/>
      <w:bookmarkStart w:id="138" w:name="_Toc16938547"/>
      <w:bookmarkStart w:id="139" w:name="_Toc20823303"/>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20823304"/>
      <w:bookmarkStart w:id="141" w:name="_Toc513029232"/>
      <w:bookmarkStart w:id="142" w:name="_Toc16938548"/>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16938549"/>
      <w:bookmarkStart w:id="144" w:name="_Toc20823305"/>
      <w:bookmarkStart w:id="145" w:name="_Toc513029233"/>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20823306"/>
      <w:bookmarkStart w:id="147" w:name="_Toc16938550"/>
      <w:bookmarkStart w:id="148" w:name="_Toc513029234"/>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16938551"/>
      <w:bookmarkStart w:id="150" w:name="_Toc20823307"/>
      <w:bookmarkStart w:id="151" w:name="_Toc513029235"/>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534725603"/>
      <w:bookmarkStart w:id="153" w:name="_Toc120614219"/>
      <w:bookmarkStart w:id="154" w:name="_Toc534816632"/>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20823310"/>
      <w:bookmarkStart w:id="157" w:name="_Toc16938554"/>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534816633"/>
      <w:bookmarkStart w:id="160" w:name="_Toc534725604"/>
      <w:bookmarkStart w:id="161" w:name="_Toc120614220"/>
      <w:bookmarkStart w:id="162" w:name="_Toc513029236"/>
      <w:bookmarkStart w:id="163" w:name="_Toc20823308"/>
      <w:bookmarkStart w:id="164" w:name="_Toc16938552"/>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513029237"/>
      <w:bookmarkStart w:id="166" w:name="_Toc20823309"/>
      <w:bookmarkStart w:id="167" w:name="_Toc16938553"/>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725605"/>
      <w:bookmarkStart w:id="170" w:name="_Toc534816634"/>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6"/>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6"/>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6"/>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6"/>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6"/>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6"/>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ind w:firstLine="555"/>
        <w:rPr>
          <w:rFonts w:ascii="宋体" w:hAnsi="宋体"/>
          <w:bCs/>
          <w:sz w:val="24"/>
          <w:szCs w:val="24"/>
        </w:rPr>
      </w:pPr>
      <w:r>
        <w:rPr>
          <w:rFonts w:ascii="宋体" w:hAnsi="宋体"/>
          <w:bCs/>
          <w:sz w:val="24"/>
          <w:szCs w:val="24"/>
        </w:rPr>
        <w:br w:type="page"/>
      </w:r>
    </w:p>
    <w:p>
      <w:pPr>
        <w:pStyle w:val="3"/>
      </w:pPr>
      <w:bookmarkStart w:id="171" w:name="_Toc534725606"/>
      <w:bookmarkStart w:id="172" w:name="_Toc534816635"/>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513029243"/>
      <w:bookmarkStart w:id="174" w:name="_Toc20823315"/>
      <w:bookmarkStart w:id="175" w:name="_Toc16938559"/>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Toc120614244"/>
      <w:bookmarkStart w:id="177" w:name="_Hlt16619350"/>
      <w:bookmarkStart w:id="178" w:name="_Toc20823346"/>
      <w:bookmarkStart w:id="179" w:name="_Toc16938590"/>
      <w:bookmarkStart w:id="180" w:name="_Toc479757211"/>
      <w:bookmarkStart w:id="181" w:name="_Toc462564139"/>
    </w:p>
    <w:p>
      <w:pPr>
        <w:spacing w:line="360" w:lineRule="auto"/>
        <w:ind w:left="569" w:right="371" w:hanging="10"/>
        <w:jc w:val="center"/>
        <w:rPr>
          <w:sz w:val="28"/>
        </w:rPr>
      </w:pPr>
    </w:p>
    <w:p>
      <w:pPr>
        <w:spacing w:line="360" w:lineRule="auto"/>
        <w:rPr>
          <w:szCs w:val="24"/>
        </w:rPr>
      </w:pPr>
      <w:bookmarkStart w:id="182" w:name="_Toc534816636"/>
      <w:bookmarkStart w:id="183" w:name="_Toc494375080"/>
      <w:bookmarkStart w:id="184" w:name="_Toc534725607"/>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7"/>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firstLine="420" w:firstLineChars="200"/>
        <w:rPr>
          <w:rFonts w:ascii="Times New Roman" w:hAnsi="Times New Roman"/>
        </w:rPr>
      </w:pP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rPr>
          <w:b/>
          <w:sz w:val="32"/>
        </w:rPr>
      </w:pPr>
      <w:r>
        <w:rPr>
          <w:rFonts w:hint="eastAsia"/>
          <w:b/>
          <w:sz w:val="32"/>
        </w:rPr>
        <w:t xml:space="preserve"> 项目需求</w:t>
      </w:r>
      <w:bookmarkEnd w:id="176"/>
      <w:bookmarkEnd w:id="177"/>
      <w:bookmarkEnd w:id="178"/>
      <w:bookmarkEnd w:id="179"/>
      <w:bookmarkEnd w:id="182"/>
      <w:bookmarkEnd w:id="183"/>
      <w:bookmarkEnd w:id="184"/>
      <w:bookmarkStart w:id="185" w:name="_Toc534725609"/>
      <w:bookmarkStart w:id="186" w:name="_Toc534816638"/>
      <w:bookmarkStart w:id="187" w:name="_Toc49090575"/>
      <w:bookmarkStart w:id="188" w:name="_Toc26554093"/>
    </w:p>
    <w:bookmarkEnd w:id="185"/>
    <w:bookmarkEnd w:id="186"/>
    <w:p>
      <w:pPr>
        <w:spacing w:before="100" w:beforeAutospacing="1" w:after="100" w:afterAutospacing="1" w:line="360" w:lineRule="auto"/>
        <w:jc w:val="center"/>
        <w:rPr>
          <w:rFonts w:ascii="Times New Roman" w:hAnsi="Times New Roman"/>
          <w:b/>
          <w:sz w:val="32"/>
        </w:rPr>
      </w:pPr>
      <w:bookmarkStart w:id="189" w:name="_Toc534816639"/>
      <w:bookmarkStart w:id="190" w:name="_Toc494375081"/>
      <w:bookmarkStart w:id="191" w:name="_Toc534725610"/>
      <w:bookmarkStart w:id="192" w:name="_Toc120614281"/>
      <w:r>
        <w:rPr>
          <w:rFonts w:hint="eastAsia" w:ascii="Times New Roman" w:hAnsi="Times New Roman"/>
          <w:b/>
          <w:sz w:val="32"/>
        </w:rPr>
        <w:t>包八：业务财务一体化管理子系统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文件定义 </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业务财务一体化管理子系统的技术需求。提供本项目建设所需的软件和服务的公司（以下称投标方）应向新疆维吾尔自治区医疗保障局（以下称招标方）就业务财务一体化管理子系统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业务财务一体化管理子系统功能开发和部署等。本文将给出招标方对业务财务一体化管理子系统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21"/>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 xml:space="preserve">系统建设应该遵循以下原则： </w:t>
      </w:r>
    </w:p>
    <w:p>
      <w:pPr>
        <w:spacing w:line="360" w:lineRule="auto"/>
        <w:ind w:firstLine="480" w:firstLineChars="200"/>
        <w:rPr>
          <w:rFonts w:ascii="Times New Roman" w:hAnsi="Times New Roman"/>
          <w:sz w:val="24"/>
        </w:rPr>
      </w:pPr>
      <w:r>
        <w:rPr>
          <w:rFonts w:hint="eastAsia" w:ascii="Times New Roman" w:hAnsi="Times New Roman"/>
          <w:sz w:val="24"/>
        </w:rPr>
        <w:t xml:space="preserve">（1）先进性原则。在技术上应采用业界先进、成熟的软件开发技术，面向 对象的设计方法,面向对象的开发工具。采用浏览器/服务器体系结构以支持网络 环境下的分布式应用。 </w:t>
      </w:r>
    </w:p>
    <w:p>
      <w:pPr>
        <w:spacing w:line="360" w:lineRule="auto"/>
        <w:ind w:firstLine="480" w:firstLineChars="200"/>
        <w:rPr>
          <w:rFonts w:ascii="Times New Roman" w:hAnsi="Times New Roman"/>
          <w:sz w:val="24"/>
        </w:rPr>
      </w:pPr>
      <w:r>
        <w:rPr>
          <w:rFonts w:hint="eastAsia" w:ascii="Times New Roman" w:hAnsi="Times New Roman"/>
          <w:sz w:val="24"/>
        </w:rPr>
        <w:t xml:space="preserve">（2）实用性原则。必须做到系统使用易学、易用、实用，方便广大民众和 各级政府部门相关人员的使用。 </w:t>
      </w:r>
    </w:p>
    <w:p>
      <w:pPr>
        <w:spacing w:line="360" w:lineRule="auto"/>
        <w:ind w:firstLine="480" w:firstLineChars="200"/>
        <w:rPr>
          <w:rFonts w:ascii="Times New Roman" w:hAnsi="Times New Roman"/>
          <w:sz w:val="24"/>
        </w:rPr>
      </w:pPr>
      <w:r>
        <w:rPr>
          <w:rFonts w:hint="eastAsia" w:ascii="Times New Roman" w:hAnsi="Times New Roman"/>
          <w:sz w:val="24"/>
        </w:rPr>
        <w:t xml:space="preserve">（3）开放性原则。保证系统设计的规范性，包括系统内部程序设计的规范、 系统各模块之间接口的规范、系统内部与外部接口的规范和系统用户界面的规 范，以便于同其它系统进行信息交互。 </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 xml:space="preserve">（5）安全性和可靠性原则。符合国家法律法规要求；系统建设要采取全面 的安全防护措施，系统开发层面，避免安全漏洞和隐患，做好用户隐私的保护和防泄漏。 </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 将来的发展，系统应提供配置模块和客户化工具，通过一系列的组件和工具，使 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本文涉及新疆维吾尔自治区医疗保障信息平台应用系统层的业务财务一体化管理子系统作为自治区医疗保障信息平台的组成部分。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业务财务一体化管理子系统。</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p>
    <w:p>
      <w:pPr>
        <w:spacing w:line="360" w:lineRule="auto"/>
        <w:ind w:firstLine="480" w:firstLineChars="200"/>
        <w:rPr>
          <w:rFonts w:ascii="Times New Roman" w:hAnsi="Times New Roman"/>
          <w:i/>
          <w:iCs/>
          <w:sz w:val="24"/>
          <w:u w:val="single"/>
        </w:rPr>
      </w:pP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 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 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 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 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 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 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 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软件功能需求</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业务财务一体化实现业务管理系统与财务管理系统的同级部署，通过信息系统建立医保业务数据和基金财务数据的内在联系，使业务数据和基金财务数据相互验证并衔接一致，并支持自动对账和报表，提高记账核算工作的效率和准确度，提高基金管理的安全程度。基金财务管理需要达到两个目的：</w:t>
      </w:r>
    </w:p>
    <w:p>
      <w:pPr>
        <w:spacing w:line="360" w:lineRule="auto"/>
        <w:ind w:firstLine="480" w:firstLineChars="200"/>
        <w:rPr>
          <w:rFonts w:ascii="Times New Roman" w:hAnsi="Times New Roman"/>
          <w:sz w:val="24"/>
        </w:rPr>
      </w:pPr>
      <w:r>
        <w:rPr>
          <w:rFonts w:hint="eastAsia" w:ascii="Times New Roman" w:hAnsi="Times New Roman"/>
          <w:sz w:val="24"/>
        </w:rPr>
        <w:t>（1）实现基金财务业务全程电子化。</w:t>
      </w:r>
    </w:p>
    <w:p>
      <w:pPr>
        <w:spacing w:line="360" w:lineRule="auto"/>
        <w:ind w:firstLine="480" w:firstLineChars="200"/>
        <w:rPr>
          <w:rFonts w:ascii="Times New Roman" w:hAnsi="Times New Roman"/>
          <w:sz w:val="24"/>
        </w:rPr>
      </w:pPr>
      <w:r>
        <w:rPr>
          <w:rFonts w:hint="eastAsia" w:ascii="Times New Roman" w:hAnsi="Times New Roman"/>
          <w:sz w:val="24"/>
        </w:rPr>
        <w:t>通过业务财务一体化，财务报表一体化，每月月底能自动从财务系统取数，使基金预决算报表更自动化，上报国家医疗保障局报表和财政部报表数据一致；</w:t>
      </w:r>
    </w:p>
    <w:p>
      <w:pPr>
        <w:spacing w:line="360" w:lineRule="auto"/>
        <w:ind w:firstLine="480" w:firstLineChars="200"/>
        <w:rPr>
          <w:rFonts w:ascii="Times New Roman" w:hAnsi="Times New Roman"/>
          <w:sz w:val="24"/>
        </w:rPr>
      </w:pPr>
      <w:r>
        <w:rPr>
          <w:rFonts w:hint="eastAsia" w:ascii="Times New Roman" w:hAnsi="Times New Roman"/>
          <w:sz w:val="24"/>
        </w:rPr>
        <w:t>通过与税务接口，财务税务一体化，同步税务征收入库数据，征收自动对账，确保收入核算更准确；通过与银行接口，财务银行一体化，支付全程电子化，数据不落地，确保基金支付安全。通过与财政接口，实现财务财政一体化，实现基金请款支付电子化，无人工干预，无纸化办公，提高工作效率。收支对账完成后，自动生成会计凭证，实现从预算、收支、请款、对账、核算、决算、监管等全程电子化管理。</w:t>
      </w:r>
    </w:p>
    <w:p>
      <w:pPr>
        <w:spacing w:line="360" w:lineRule="auto"/>
        <w:ind w:firstLine="480" w:firstLineChars="200"/>
        <w:rPr>
          <w:rFonts w:ascii="Times New Roman" w:hAnsi="Times New Roman"/>
          <w:sz w:val="24"/>
        </w:rPr>
      </w:pPr>
      <w:r>
        <w:rPr>
          <w:rFonts w:hint="eastAsia" w:ascii="Times New Roman" w:hAnsi="Times New Roman"/>
          <w:sz w:val="24"/>
        </w:rPr>
        <w:t>（2）业务、财务和报表数据统一</w:t>
      </w:r>
    </w:p>
    <w:p>
      <w:pPr>
        <w:spacing w:line="360" w:lineRule="auto"/>
        <w:ind w:firstLine="480" w:firstLineChars="200"/>
        <w:rPr>
          <w:rFonts w:ascii="Times New Roman" w:hAnsi="Times New Roman"/>
          <w:sz w:val="24"/>
        </w:rPr>
      </w:pPr>
      <w:r>
        <w:rPr>
          <w:rFonts w:hint="eastAsia" w:ascii="Times New Roman" w:hAnsi="Times New Roman"/>
          <w:sz w:val="24"/>
        </w:rPr>
        <w:t>不断促进统计工作的规范化、制度化和科学化，加强统计数据的分析应用，最终保证基金管理的业务数据、报表数据和账务数据统一，及时了解掌握基金运转情况和支撑能力，实现制度平稳运行，提高决策支持能力。</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业务财务一体化管理子系统架构如下：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20" w:firstLineChars="200"/>
        <w:jc w:val="center"/>
        <w:rPr>
          <w:rFonts w:ascii="Times New Roman" w:hAnsi="Times New Roman"/>
          <w:sz w:val="24"/>
        </w:rPr>
      </w:pPr>
      <w:r>
        <w:rPr>
          <w:rFonts w:ascii="Times New Roman" w:hAnsi="Times New Roman"/>
        </w:rPr>
        <w:t xml:space="preserve">图 </w:t>
      </w:r>
      <w:r>
        <w:rPr>
          <w:rFonts w:ascii="Times New Roman" w:hAnsi="Times New Roman"/>
        </w:rPr>
        <w:fldChar w:fldCharType="begin"/>
      </w:r>
      <w:r>
        <w:rPr>
          <w:rFonts w:ascii="Times New Roman" w:hAnsi="Times New Roman"/>
        </w:rPr>
        <w:instrText xml:space="preserve"> STYLEREF 2 \s </w:instrText>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ascii="Times New Roman" w:hAnsi="Times New Roman"/>
        </w:rPr>
        <w:noBreakHyphen/>
      </w:r>
      <w:r>
        <w:rPr>
          <w:rFonts w:ascii="Times New Roman" w:hAnsi="Times New Roman"/>
        </w:rPr>
        <w:fldChar w:fldCharType="begin"/>
      </w:r>
      <w:r>
        <w:rPr>
          <w:rFonts w:ascii="Times New Roman" w:hAnsi="Times New Roman"/>
        </w:rPr>
        <w:instrText xml:space="preserve"> SEQ 图 \* ARABIC \s 2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rPr>
        <w:t>业务财务一体化管理子系统架构</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功能要求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系统管理</w:t>
      </w:r>
    </w:p>
    <w:p>
      <w:pPr>
        <w:spacing w:line="360" w:lineRule="auto"/>
        <w:ind w:firstLine="480" w:firstLineChars="200"/>
        <w:rPr>
          <w:rFonts w:ascii="Times New Roman" w:hAnsi="Times New Roman"/>
          <w:sz w:val="24"/>
        </w:rPr>
      </w:pPr>
      <w:r>
        <w:rPr>
          <w:rFonts w:hint="eastAsia" w:ascii="Times New Roman" w:hAnsi="Times New Roman"/>
          <w:sz w:val="24"/>
        </w:rPr>
        <w:t>1、授权设置</w:t>
      </w:r>
    </w:p>
    <w:p>
      <w:pPr>
        <w:spacing w:line="360" w:lineRule="auto"/>
        <w:ind w:firstLine="480" w:firstLineChars="200"/>
        <w:rPr>
          <w:rFonts w:ascii="Times New Roman" w:hAnsi="Times New Roman"/>
          <w:sz w:val="24"/>
        </w:rPr>
      </w:pPr>
      <w:r>
        <w:rPr>
          <w:rFonts w:hint="eastAsia" w:ascii="Times New Roman" w:hAnsi="Times New Roman"/>
          <w:sz w:val="24"/>
        </w:rPr>
        <w:t>通过分级授权，单笔分级授权的方式，分别对不同角色、不同岗位的人员进行授权设置。</w:t>
      </w:r>
    </w:p>
    <w:p>
      <w:pPr>
        <w:spacing w:line="360" w:lineRule="auto"/>
        <w:ind w:firstLine="480" w:firstLineChars="200"/>
        <w:rPr>
          <w:rFonts w:ascii="Times New Roman" w:hAnsi="Times New Roman"/>
          <w:sz w:val="24"/>
        </w:rPr>
      </w:pPr>
      <w:r>
        <w:rPr>
          <w:rFonts w:hint="eastAsia" w:ascii="Times New Roman" w:hAnsi="Times New Roman"/>
          <w:sz w:val="24"/>
        </w:rPr>
        <w:t>2、机构管理</w:t>
      </w:r>
    </w:p>
    <w:p>
      <w:pPr>
        <w:spacing w:line="360" w:lineRule="auto"/>
        <w:ind w:firstLine="480" w:firstLineChars="200"/>
        <w:rPr>
          <w:rFonts w:ascii="Times New Roman" w:hAnsi="Times New Roman"/>
          <w:sz w:val="24"/>
        </w:rPr>
      </w:pPr>
      <w:r>
        <w:rPr>
          <w:rFonts w:hint="eastAsia" w:ascii="Times New Roman" w:hAnsi="Times New Roman"/>
          <w:sz w:val="24"/>
        </w:rPr>
        <w:t>对医保机构、银行机构等信息维护，包括机构名称，代码，地点编码等信息的增删改查。</w:t>
      </w:r>
    </w:p>
    <w:p>
      <w:pPr>
        <w:spacing w:line="360" w:lineRule="auto"/>
        <w:ind w:firstLine="480" w:firstLineChars="200"/>
        <w:rPr>
          <w:rFonts w:ascii="Times New Roman" w:hAnsi="Times New Roman"/>
          <w:sz w:val="24"/>
        </w:rPr>
      </w:pPr>
      <w:r>
        <w:rPr>
          <w:rFonts w:hint="eastAsia" w:ascii="Times New Roman" w:hAnsi="Times New Roman"/>
          <w:sz w:val="24"/>
        </w:rPr>
        <w:t>3、密钥信息管理</w:t>
      </w:r>
    </w:p>
    <w:p>
      <w:pPr>
        <w:spacing w:line="360" w:lineRule="auto"/>
        <w:ind w:firstLine="480" w:firstLineChars="200"/>
        <w:rPr>
          <w:rFonts w:ascii="Times New Roman" w:hAnsi="Times New Roman"/>
          <w:sz w:val="24"/>
        </w:rPr>
      </w:pPr>
      <w:r>
        <w:rPr>
          <w:rFonts w:hint="eastAsia" w:ascii="Times New Roman" w:hAnsi="Times New Roman"/>
          <w:sz w:val="24"/>
        </w:rPr>
        <w:t>密钥管理包括，从密钥的产生到密钥的销毁的各个方面。主要表现于管理体制、管理协议和密钥的产生、分配、更换和注入等。</w:t>
      </w:r>
    </w:p>
    <w:p>
      <w:pPr>
        <w:spacing w:line="360" w:lineRule="auto"/>
        <w:ind w:firstLine="480" w:firstLineChars="200"/>
        <w:rPr>
          <w:rFonts w:ascii="Times New Roman" w:hAnsi="Times New Roman"/>
          <w:sz w:val="24"/>
        </w:rPr>
      </w:pPr>
      <w:r>
        <w:rPr>
          <w:rFonts w:hint="eastAsia" w:ascii="Times New Roman" w:hAnsi="Times New Roman"/>
          <w:sz w:val="24"/>
        </w:rPr>
        <w:t>4、流程定义</w:t>
      </w:r>
    </w:p>
    <w:p>
      <w:pPr>
        <w:spacing w:line="360" w:lineRule="auto"/>
        <w:ind w:firstLine="480" w:firstLineChars="200"/>
        <w:rPr>
          <w:rFonts w:ascii="Times New Roman" w:hAnsi="Times New Roman"/>
          <w:sz w:val="24"/>
        </w:rPr>
      </w:pPr>
      <w:r>
        <w:rPr>
          <w:rFonts w:hint="eastAsia" w:ascii="Times New Roman" w:hAnsi="Times New Roman"/>
          <w:sz w:val="24"/>
        </w:rPr>
        <w:t>根据审批业务，定义具体流程流转过程。</w:t>
      </w:r>
    </w:p>
    <w:p>
      <w:pPr>
        <w:spacing w:line="360" w:lineRule="auto"/>
        <w:ind w:firstLine="480" w:firstLineChars="200"/>
        <w:rPr>
          <w:rFonts w:ascii="Times New Roman" w:hAnsi="Times New Roman"/>
          <w:sz w:val="24"/>
        </w:rPr>
      </w:pPr>
      <w:r>
        <w:rPr>
          <w:rFonts w:hint="eastAsia" w:ascii="Times New Roman" w:hAnsi="Times New Roman"/>
          <w:sz w:val="24"/>
        </w:rPr>
        <w:t>5、流程审批</w:t>
      </w:r>
    </w:p>
    <w:p>
      <w:pPr>
        <w:spacing w:line="360" w:lineRule="auto"/>
        <w:ind w:firstLine="480" w:firstLineChars="200"/>
        <w:rPr>
          <w:rFonts w:ascii="Times New Roman" w:hAnsi="Times New Roman"/>
          <w:sz w:val="24"/>
        </w:rPr>
      </w:pPr>
      <w:r>
        <w:rPr>
          <w:rFonts w:hint="eastAsia" w:ascii="Times New Roman" w:hAnsi="Times New Roman"/>
          <w:sz w:val="24"/>
        </w:rPr>
        <w:t>根据流程审批过程，定义审批节点，审批条件，审批人员等。</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基金财务管理</w:t>
      </w:r>
    </w:p>
    <w:p>
      <w:pPr>
        <w:spacing w:line="360" w:lineRule="auto"/>
        <w:ind w:firstLine="480" w:firstLineChars="200"/>
        <w:rPr>
          <w:rFonts w:ascii="Times New Roman" w:hAnsi="Times New Roman"/>
          <w:sz w:val="24"/>
        </w:rPr>
      </w:pPr>
      <w:r>
        <w:rPr>
          <w:rFonts w:hint="eastAsia" w:ascii="Times New Roman" w:hAnsi="Times New Roman"/>
          <w:sz w:val="24"/>
        </w:rPr>
        <w:t>1.基金预算管理</w:t>
      </w:r>
    </w:p>
    <w:p>
      <w:pPr>
        <w:spacing w:line="360" w:lineRule="auto"/>
        <w:ind w:firstLine="480" w:firstLineChars="200"/>
        <w:rPr>
          <w:rFonts w:ascii="Times New Roman" w:hAnsi="Times New Roman"/>
          <w:sz w:val="24"/>
        </w:rPr>
      </w:pPr>
      <w:r>
        <w:rPr>
          <w:rFonts w:hint="eastAsia" w:ascii="Times New Roman" w:hAnsi="Times New Roman"/>
          <w:sz w:val="24"/>
        </w:rPr>
        <w:t>支持接收财政医保下发的基金预算表包；可自动提取业务、财务等系统相关数据，支持预算底表数据的提取生成，同时系统完成预算编制、预算调整、预算审核、预算表报送、预算表接收、报表管理、统计分析等功能。</w:t>
      </w:r>
    </w:p>
    <w:p>
      <w:pPr>
        <w:spacing w:line="360" w:lineRule="auto"/>
        <w:ind w:firstLine="480" w:firstLineChars="200"/>
        <w:rPr>
          <w:rFonts w:ascii="Times New Roman" w:hAnsi="Times New Roman"/>
          <w:sz w:val="24"/>
        </w:rPr>
      </w:pPr>
      <w:r>
        <w:rPr>
          <w:rFonts w:hint="eastAsia" w:ascii="Times New Roman" w:hAnsi="Times New Roman"/>
          <w:sz w:val="24"/>
        </w:rPr>
        <w:t>支持制定医疗保险基金收支预算录入表并下发，支持各经办机构填报过程中的预算控制数测算，支持自动化全表计算，支持智能审核，支持上报自动汇总以及催报管理，支持多上多下流程。</w:t>
      </w:r>
    </w:p>
    <w:p>
      <w:pPr>
        <w:spacing w:line="360" w:lineRule="auto"/>
        <w:ind w:firstLine="480" w:firstLineChars="200"/>
        <w:rPr>
          <w:rFonts w:ascii="Times New Roman" w:hAnsi="Times New Roman"/>
          <w:sz w:val="24"/>
        </w:rPr>
      </w:pPr>
      <w:r>
        <w:rPr>
          <w:rFonts w:hint="eastAsia" w:ascii="Times New Roman" w:hAnsi="Times New Roman"/>
          <w:sz w:val="24"/>
        </w:rPr>
        <w:t>系统能够支持医疗保险各险种预算报表体系整合和合并计算。</w:t>
      </w:r>
    </w:p>
    <w:p>
      <w:pPr>
        <w:spacing w:line="360" w:lineRule="auto"/>
        <w:ind w:firstLine="480" w:firstLineChars="200"/>
        <w:rPr>
          <w:rFonts w:ascii="Times New Roman" w:hAnsi="Times New Roman"/>
          <w:sz w:val="24"/>
        </w:rPr>
      </w:pPr>
      <w:r>
        <w:rPr>
          <w:rFonts w:hint="eastAsia" w:ascii="Times New Roman" w:hAnsi="Times New Roman"/>
          <w:sz w:val="24"/>
        </w:rPr>
        <w:t>系统能够与核算、决算系统衔接，支持基金预决算一体化管理。</w:t>
      </w:r>
    </w:p>
    <w:p>
      <w:pPr>
        <w:spacing w:line="360" w:lineRule="auto"/>
        <w:ind w:firstLine="480" w:firstLineChars="200"/>
        <w:rPr>
          <w:rFonts w:ascii="Times New Roman" w:hAnsi="Times New Roman"/>
          <w:sz w:val="24"/>
        </w:rPr>
      </w:pPr>
      <w:r>
        <w:rPr>
          <w:rFonts w:hint="eastAsia" w:ascii="Times New Roman" w:hAnsi="Times New Roman"/>
          <w:sz w:val="24"/>
        </w:rPr>
        <w:t>2.基金收入管理</w:t>
      </w:r>
    </w:p>
    <w:p>
      <w:pPr>
        <w:spacing w:line="360" w:lineRule="auto"/>
        <w:ind w:firstLine="480" w:firstLineChars="200"/>
        <w:rPr>
          <w:rFonts w:ascii="Times New Roman" w:hAnsi="Times New Roman"/>
          <w:sz w:val="24"/>
        </w:rPr>
      </w:pPr>
      <w:r>
        <w:rPr>
          <w:rFonts w:hint="eastAsia" w:ascii="Times New Roman" w:hAnsi="Times New Roman"/>
          <w:sz w:val="24"/>
        </w:rPr>
        <w:t>提供基金收入管理，实现税务征收后，医保费缴费明细信息接收、税务部门已征收及已入库信息协同管理，支持实时查询财政专户反馈收款对账单信息。</w:t>
      </w:r>
    </w:p>
    <w:p>
      <w:pPr>
        <w:spacing w:line="360" w:lineRule="auto"/>
        <w:ind w:firstLine="480" w:firstLineChars="200"/>
        <w:rPr>
          <w:rFonts w:ascii="Times New Roman" w:hAnsi="Times New Roman"/>
          <w:sz w:val="24"/>
        </w:rPr>
      </w:pPr>
      <w:r>
        <w:rPr>
          <w:rFonts w:hint="eastAsia" w:ascii="Times New Roman" w:hAnsi="Times New Roman"/>
          <w:sz w:val="24"/>
        </w:rPr>
        <w:t>基金收入管理包含实征税务反馈、税务入库信息查询、收入退费管理、征收对账管理、实征财务到账等功能。由医保部门完成医保费征缴工作后，完成与业务子系统的收入对账。</w:t>
      </w:r>
    </w:p>
    <w:p>
      <w:pPr>
        <w:spacing w:line="360" w:lineRule="auto"/>
        <w:ind w:firstLine="480" w:firstLineChars="200"/>
        <w:rPr>
          <w:rFonts w:ascii="Times New Roman" w:hAnsi="Times New Roman"/>
          <w:sz w:val="24"/>
        </w:rPr>
      </w:pPr>
      <w:r>
        <w:rPr>
          <w:rFonts w:hint="eastAsia" w:ascii="Times New Roman" w:hAnsi="Times New Roman"/>
          <w:sz w:val="24"/>
        </w:rPr>
        <w:t>3.基金支付管理</w:t>
      </w:r>
    </w:p>
    <w:p>
      <w:pPr>
        <w:spacing w:line="360" w:lineRule="auto"/>
        <w:ind w:firstLine="480" w:firstLineChars="200"/>
        <w:rPr>
          <w:rFonts w:ascii="Times New Roman" w:hAnsi="Times New Roman"/>
          <w:sz w:val="24"/>
        </w:rPr>
      </w:pPr>
      <w:r>
        <w:rPr>
          <w:rFonts w:hint="eastAsia" w:ascii="Times New Roman" w:hAnsi="Times New Roman"/>
          <w:sz w:val="24"/>
        </w:rPr>
        <w:t>实现待遇发放全程电子化管理，数据不落地，形成业务闭环管理，实现所有待遇发放计划数据经过财务多级审核流程审核后形成支付指令，直接与银行联网，银行获取支付指令和支付明细，核对无误后完成待遇支付，同时银行支付成功后，交易数据回写到财务系统中；功能包括支付计划管理、支付计划初审、复审、复核、基金支付管理、对账管理、实付到账管理等。</w:t>
      </w:r>
    </w:p>
    <w:p>
      <w:pPr>
        <w:spacing w:line="360" w:lineRule="auto"/>
        <w:ind w:firstLine="480" w:firstLineChars="200"/>
        <w:rPr>
          <w:rFonts w:ascii="Times New Roman" w:hAnsi="Times New Roman"/>
          <w:sz w:val="24"/>
        </w:rPr>
      </w:pPr>
      <w:r>
        <w:rPr>
          <w:rFonts w:hint="eastAsia" w:ascii="Times New Roman" w:hAnsi="Times New Roman"/>
          <w:sz w:val="24"/>
        </w:rPr>
        <w:t>4.基金账务处理</w:t>
      </w:r>
    </w:p>
    <w:p>
      <w:pPr>
        <w:spacing w:line="360" w:lineRule="auto"/>
        <w:ind w:firstLine="480" w:firstLineChars="200"/>
        <w:rPr>
          <w:rFonts w:ascii="Times New Roman" w:hAnsi="Times New Roman"/>
          <w:sz w:val="24"/>
        </w:rPr>
      </w:pPr>
      <w:r>
        <w:rPr>
          <w:rFonts w:hint="eastAsia" w:ascii="Times New Roman" w:hAnsi="Times New Roman"/>
          <w:sz w:val="24"/>
        </w:rPr>
        <w:t>基金账务处理通过对会计科目各辅助核算项等基础资料的管理，以及日常财务工作中的会计凭证录入、审核、记账、结账处理、账薄查询和打印，达到完整的财务核算的要求及基本的财务辅助控制目标，并实现各种财务报告的查询，满足基金管理部门基本财务管理的需要。按照医疗保险财务管理要求，基金账务处理应包含有如下主要功能：</w:t>
      </w:r>
    </w:p>
    <w:p>
      <w:pPr>
        <w:spacing w:line="360" w:lineRule="auto"/>
        <w:ind w:firstLine="480" w:firstLineChars="200"/>
        <w:rPr>
          <w:rFonts w:ascii="Times New Roman" w:hAnsi="Times New Roman"/>
          <w:sz w:val="24"/>
        </w:rPr>
      </w:pPr>
      <w:r>
        <w:rPr>
          <w:rFonts w:hint="eastAsia" w:ascii="Times New Roman" w:hAnsi="Times New Roman"/>
          <w:sz w:val="24"/>
        </w:rPr>
        <w:t>（1）基础资料定义</w:t>
      </w:r>
    </w:p>
    <w:p>
      <w:pPr>
        <w:spacing w:line="360" w:lineRule="auto"/>
        <w:ind w:firstLine="480" w:firstLineChars="200"/>
        <w:rPr>
          <w:rFonts w:ascii="Times New Roman" w:hAnsi="Times New Roman"/>
          <w:sz w:val="24"/>
        </w:rPr>
      </w:pPr>
      <w:r>
        <w:rPr>
          <w:rFonts w:hint="eastAsia" w:ascii="Times New Roman" w:hAnsi="Times New Roman"/>
          <w:sz w:val="24"/>
        </w:rPr>
        <w:t>系统应根据权限设置的不同要求，支持系统级、主管级和单位级三个不同级别的基础资料的定义。</w:t>
      </w:r>
    </w:p>
    <w:p>
      <w:pPr>
        <w:spacing w:line="360" w:lineRule="auto"/>
        <w:ind w:firstLine="480" w:firstLineChars="200"/>
        <w:rPr>
          <w:rFonts w:ascii="Times New Roman" w:hAnsi="Times New Roman"/>
          <w:sz w:val="24"/>
        </w:rPr>
      </w:pPr>
      <w:r>
        <w:rPr>
          <w:rFonts w:hint="eastAsia" w:ascii="Times New Roman" w:hAnsi="Times New Roman"/>
          <w:sz w:val="24"/>
        </w:rPr>
        <w:t>（2）凭证处理</w:t>
      </w:r>
    </w:p>
    <w:p>
      <w:pPr>
        <w:spacing w:line="360" w:lineRule="auto"/>
        <w:ind w:firstLine="480" w:firstLineChars="200"/>
        <w:rPr>
          <w:rFonts w:ascii="Times New Roman" w:hAnsi="Times New Roman"/>
          <w:sz w:val="24"/>
        </w:rPr>
      </w:pPr>
      <w:r>
        <w:rPr>
          <w:rFonts w:hint="eastAsia" w:ascii="Times New Roman" w:hAnsi="Times New Roman"/>
          <w:sz w:val="24"/>
        </w:rPr>
        <w:t>实现凭证编制、审核、记账等功能。</w:t>
      </w:r>
    </w:p>
    <w:p>
      <w:pPr>
        <w:spacing w:line="360" w:lineRule="auto"/>
        <w:ind w:firstLine="480" w:firstLineChars="200"/>
        <w:rPr>
          <w:rFonts w:ascii="Times New Roman" w:hAnsi="Times New Roman"/>
          <w:sz w:val="24"/>
        </w:rPr>
      </w:pPr>
      <w:r>
        <w:rPr>
          <w:rFonts w:hint="eastAsia" w:ascii="Times New Roman" w:hAnsi="Times New Roman"/>
          <w:sz w:val="24"/>
        </w:rPr>
        <w:t>（3）往来管理</w:t>
      </w:r>
    </w:p>
    <w:p>
      <w:pPr>
        <w:spacing w:line="360" w:lineRule="auto"/>
        <w:ind w:firstLine="480" w:firstLineChars="200"/>
        <w:rPr>
          <w:rFonts w:ascii="Times New Roman" w:hAnsi="Times New Roman"/>
          <w:sz w:val="24"/>
        </w:rPr>
      </w:pPr>
      <w:r>
        <w:rPr>
          <w:rFonts w:hint="eastAsia" w:ascii="Times New Roman" w:hAnsi="Times New Roman"/>
          <w:sz w:val="24"/>
        </w:rPr>
        <w:t>实现对单位内部往来及外部往来的管理。</w:t>
      </w:r>
    </w:p>
    <w:p>
      <w:pPr>
        <w:spacing w:line="360" w:lineRule="auto"/>
        <w:ind w:firstLine="480" w:firstLineChars="200"/>
        <w:rPr>
          <w:rFonts w:ascii="Times New Roman" w:hAnsi="Times New Roman"/>
          <w:sz w:val="24"/>
        </w:rPr>
      </w:pPr>
      <w:r>
        <w:rPr>
          <w:rFonts w:hint="eastAsia" w:ascii="Times New Roman" w:hAnsi="Times New Roman"/>
          <w:sz w:val="24"/>
        </w:rPr>
        <w:t>（4）定期处理</w:t>
      </w:r>
    </w:p>
    <w:p>
      <w:pPr>
        <w:spacing w:line="360" w:lineRule="auto"/>
        <w:ind w:firstLine="480" w:firstLineChars="200"/>
        <w:rPr>
          <w:rFonts w:ascii="Times New Roman" w:hAnsi="Times New Roman"/>
          <w:sz w:val="24"/>
        </w:rPr>
      </w:pPr>
      <w:r>
        <w:rPr>
          <w:rFonts w:hint="eastAsia" w:ascii="Times New Roman" w:hAnsi="Times New Roman"/>
          <w:sz w:val="24"/>
        </w:rPr>
        <w:t>根据用户设置的会计科目属性，自动生成结转凭证，并实现结账功能。包括年底收支结转、新年底账转移、结账等功能。</w:t>
      </w:r>
    </w:p>
    <w:p>
      <w:pPr>
        <w:spacing w:line="360" w:lineRule="auto"/>
        <w:ind w:firstLine="480" w:firstLineChars="200"/>
        <w:rPr>
          <w:rFonts w:ascii="Times New Roman" w:hAnsi="Times New Roman"/>
          <w:sz w:val="24"/>
        </w:rPr>
      </w:pPr>
      <w:r>
        <w:rPr>
          <w:rFonts w:hint="eastAsia" w:ascii="Times New Roman" w:hAnsi="Times New Roman"/>
          <w:sz w:val="24"/>
        </w:rPr>
        <w:t>（5）科目账</w:t>
      </w:r>
    </w:p>
    <w:p>
      <w:pPr>
        <w:spacing w:line="360" w:lineRule="auto"/>
        <w:ind w:firstLine="480" w:firstLineChars="200"/>
        <w:rPr>
          <w:rFonts w:ascii="Times New Roman" w:hAnsi="Times New Roman"/>
          <w:sz w:val="24"/>
        </w:rPr>
      </w:pPr>
      <w:r>
        <w:rPr>
          <w:rFonts w:hint="eastAsia" w:ascii="Times New Roman" w:hAnsi="Times New Roman"/>
          <w:sz w:val="24"/>
        </w:rPr>
        <w:t>随意选择组合查询条件动态输出各种科目账表。包括余额汇总表、总分类账、明细账、多栏账、日记账、日报单、序时账以及收支旬报表、凭证汇总表、科目组总账余额表、科目组明细账、年底批打印等。</w:t>
      </w:r>
    </w:p>
    <w:p>
      <w:pPr>
        <w:spacing w:line="360" w:lineRule="auto"/>
        <w:ind w:firstLine="480" w:firstLineChars="200"/>
        <w:rPr>
          <w:rFonts w:ascii="Times New Roman" w:hAnsi="Times New Roman"/>
          <w:sz w:val="24"/>
        </w:rPr>
      </w:pPr>
      <w:r>
        <w:rPr>
          <w:rFonts w:hint="eastAsia" w:ascii="Times New Roman" w:hAnsi="Times New Roman"/>
          <w:sz w:val="24"/>
        </w:rPr>
        <w:t>（6）辅助账</w:t>
      </w:r>
    </w:p>
    <w:p>
      <w:pPr>
        <w:spacing w:line="360" w:lineRule="auto"/>
        <w:ind w:firstLine="480" w:firstLineChars="200"/>
        <w:rPr>
          <w:rFonts w:ascii="Times New Roman" w:hAnsi="Times New Roman"/>
          <w:sz w:val="24"/>
        </w:rPr>
      </w:pPr>
      <w:r>
        <w:rPr>
          <w:rFonts w:hint="eastAsia" w:ascii="Times New Roman" w:hAnsi="Times New Roman"/>
          <w:sz w:val="24"/>
        </w:rPr>
        <w:t>随意选择组合查询条件动态输出各种辅助账表。包括辅助明细账、辅助总账余额表、辅助总分类账、辅助多栏账、辅助分析表等。</w:t>
      </w:r>
    </w:p>
    <w:p>
      <w:pPr>
        <w:spacing w:line="360" w:lineRule="auto"/>
        <w:ind w:firstLine="480" w:firstLineChars="200"/>
        <w:rPr>
          <w:rFonts w:ascii="Times New Roman" w:hAnsi="Times New Roman"/>
          <w:sz w:val="24"/>
        </w:rPr>
      </w:pPr>
      <w:r>
        <w:rPr>
          <w:rFonts w:hint="eastAsia" w:ascii="Times New Roman" w:hAnsi="Times New Roman"/>
          <w:sz w:val="24"/>
        </w:rPr>
        <w:t>5.基金报表管理</w:t>
      </w:r>
    </w:p>
    <w:p>
      <w:pPr>
        <w:spacing w:line="360" w:lineRule="auto"/>
        <w:ind w:firstLine="480" w:firstLineChars="200"/>
        <w:rPr>
          <w:rFonts w:ascii="Times New Roman" w:hAnsi="Times New Roman"/>
          <w:sz w:val="24"/>
        </w:rPr>
      </w:pPr>
      <w:r>
        <w:rPr>
          <w:rFonts w:hint="eastAsia" w:ascii="Times New Roman" w:hAnsi="Times New Roman"/>
          <w:sz w:val="24"/>
        </w:rPr>
        <w:t>财务报表功能应支持报表设计、报表任务管理、报收管理和汇总分析。可通过公式设置自动取数保证基金账务处理子系统数据与报表的数据一致（帐表相符）。</w:t>
      </w:r>
    </w:p>
    <w:p>
      <w:pPr>
        <w:spacing w:line="360" w:lineRule="auto"/>
        <w:ind w:firstLine="480" w:firstLineChars="200"/>
        <w:rPr>
          <w:rFonts w:ascii="Times New Roman" w:hAnsi="Times New Roman"/>
          <w:sz w:val="24"/>
        </w:rPr>
      </w:pPr>
      <w:r>
        <w:rPr>
          <w:rFonts w:hint="eastAsia" w:ascii="Times New Roman" w:hAnsi="Times New Roman"/>
          <w:sz w:val="24"/>
        </w:rPr>
        <w:t>报表设计：对报表的种类、各种报表的显示和打印格式，以及报表的取数公式进行定义；提供表套定义、报表定义、指标定义、模版设计等功能。</w:t>
      </w:r>
    </w:p>
    <w:p>
      <w:pPr>
        <w:spacing w:line="360" w:lineRule="auto"/>
        <w:ind w:firstLine="480" w:firstLineChars="200"/>
        <w:rPr>
          <w:rFonts w:ascii="Times New Roman" w:hAnsi="Times New Roman"/>
          <w:sz w:val="24"/>
        </w:rPr>
      </w:pPr>
      <w:r>
        <w:rPr>
          <w:rFonts w:hint="eastAsia" w:ascii="Times New Roman" w:hAnsi="Times New Roman"/>
          <w:sz w:val="24"/>
        </w:rPr>
        <w:t>任务管理：提供任务定义、任务下发、选择任务等功能；</w:t>
      </w:r>
    </w:p>
    <w:p>
      <w:pPr>
        <w:spacing w:line="360" w:lineRule="auto"/>
        <w:ind w:firstLine="480" w:firstLineChars="200"/>
        <w:rPr>
          <w:rFonts w:ascii="Times New Roman" w:hAnsi="Times New Roman"/>
          <w:sz w:val="24"/>
        </w:rPr>
      </w:pPr>
      <w:r>
        <w:rPr>
          <w:rFonts w:hint="eastAsia" w:ascii="Times New Roman" w:hAnsi="Times New Roman"/>
          <w:sz w:val="24"/>
        </w:rPr>
        <w:t>报表填写：提供报表生成、报表审核、报表查询、主管单位报表查询等功能；</w:t>
      </w:r>
    </w:p>
    <w:p>
      <w:pPr>
        <w:spacing w:line="360" w:lineRule="auto"/>
        <w:ind w:firstLine="480" w:firstLineChars="200"/>
        <w:rPr>
          <w:rFonts w:ascii="Times New Roman" w:hAnsi="Times New Roman"/>
          <w:sz w:val="24"/>
        </w:rPr>
      </w:pPr>
      <w:r>
        <w:rPr>
          <w:rFonts w:hint="eastAsia" w:ascii="Times New Roman" w:hAnsi="Times New Roman"/>
          <w:sz w:val="24"/>
        </w:rPr>
        <w:t>报收管理：提供报表报收情况查询功能，可查询下级单位上报的情况，并检查漏报。</w:t>
      </w:r>
    </w:p>
    <w:p>
      <w:pPr>
        <w:spacing w:line="360" w:lineRule="auto"/>
        <w:ind w:firstLine="480" w:firstLineChars="200"/>
        <w:rPr>
          <w:rFonts w:ascii="Times New Roman" w:hAnsi="Times New Roman"/>
          <w:sz w:val="24"/>
        </w:rPr>
      </w:pPr>
      <w:r>
        <w:rPr>
          <w:rFonts w:hint="eastAsia" w:ascii="Times New Roman" w:hAnsi="Times New Roman"/>
          <w:sz w:val="24"/>
        </w:rPr>
        <w:t>汇总分析：提供报表汇总分析功能，把所有下级的上报信息全部收集汇总，并进行查询。所有报表数据的查询可通过报表查询实现。包括报表汇总、交叉分析和图表分析。</w:t>
      </w:r>
    </w:p>
    <w:p>
      <w:pPr>
        <w:spacing w:line="360" w:lineRule="auto"/>
        <w:ind w:firstLine="480" w:firstLineChars="200"/>
        <w:rPr>
          <w:rFonts w:ascii="Times New Roman" w:hAnsi="Times New Roman"/>
          <w:sz w:val="24"/>
        </w:rPr>
      </w:pPr>
      <w:r>
        <w:rPr>
          <w:rFonts w:hint="eastAsia" w:ascii="Times New Roman" w:hAnsi="Times New Roman"/>
          <w:sz w:val="24"/>
        </w:rPr>
        <w:t>导入导出：支持数据导入，下发标准管理，将电子报表系统中的报表导出为标准格式文件。</w:t>
      </w:r>
    </w:p>
    <w:p>
      <w:pPr>
        <w:spacing w:line="360" w:lineRule="auto"/>
        <w:ind w:firstLine="480" w:firstLineChars="200"/>
        <w:rPr>
          <w:rFonts w:ascii="Times New Roman" w:hAnsi="Times New Roman"/>
          <w:sz w:val="24"/>
        </w:rPr>
      </w:pPr>
      <w:r>
        <w:rPr>
          <w:rFonts w:hint="eastAsia" w:ascii="Times New Roman" w:hAnsi="Times New Roman"/>
          <w:sz w:val="24"/>
        </w:rPr>
        <w:t>6.基金出纳管理</w:t>
      </w:r>
    </w:p>
    <w:p>
      <w:pPr>
        <w:spacing w:line="360" w:lineRule="auto"/>
        <w:ind w:firstLine="480" w:firstLineChars="200"/>
        <w:rPr>
          <w:rFonts w:ascii="Times New Roman" w:hAnsi="Times New Roman"/>
          <w:sz w:val="24"/>
        </w:rPr>
      </w:pPr>
      <w:r>
        <w:rPr>
          <w:rFonts w:hint="eastAsia" w:ascii="Times New Roman" w:hAnsi="Times New Roman"/>
          <w:sz w:val="24"/>
        </w:rPr>
        <w:t>基金出纳管理可以提供各经办单位基金出纳人员所需要的现金和银行日记账、银行对账、资金日报表、财务系统银行日记账与银行对账等功能，可以完成现金和银行账初始余额录入、日记账、对账单、现金盘点、银行对账、出纳结账、出纳报表等工作。</w:t>
      </w:r>
    </w:p>
    <w:p>
      <w:pPr>
        <w:spacing w:line="360" w:lineRule="auto"/>
        <w:ind w:firstLine="480" w:firstLineChars="200"/>
        <w:rPr>
          <w:rFonts w:ascii="Times New Roman" w:hAnsi="Times New Roman"/>
          <w:sz w:val="24"/>
        </w:rPr>
      </w:pPr>
      <w:r>
        <w:rPr>
          <w:rFonts w:hint="eastAsia" w:ascii="Times New Roman" w:hAnsi="Times New Roman"/>
          <w:sz w:val="24"/>
        </w:rPr>
        <w:t>7.基金财务跨单位查询</w:t>
      </w:r>
    </w:p>
    <w:p>
      <w:pPr>
        <w:spacing w:line="360" w:lineRule="auto"/>
        <w:ind w:firstLine="480" w:firstLineChars="200"/>
        <w:rPr>
          <w:rFonts w:ascii="Times New Roman" w:hAnsi="Times New Roman"/>
          <w:sz w:val="24"/>
        </w:rPr>
      </w:pPr>
      <w:r>
        <w:rPr>
          <w:rFonts w:hint="eastAsia" w:ascii="Times New Roman" w:hAnsi="Times New Roman"/>
          <w:sz w:val="24"/>
        </w:rPr>
        <w:t>基金财务跨单位查询支持跨单位、跨年度、跨账套的账务和账目的集中汇总查询，使主管部门能够查看下级单位的财务信息。查询模块包括主管明细账、主管总账余额表、主管总分类账、账务信息查询、下级单位账务查询、下级单位出纳查询等。</w:t>
      </w:r>
    </w:p>
    <w:p>
      <w:pPr>
        <w:spacing w:line="360" w:lineRule="auto"/>
        <w:ind w:firstLine="480" w:firstLineChars="200"/>
        <w:rPr>
          <w:rFonts w:ascii="Times New Roman" w:hAnsi="Times New Roman"/>
          <w:sz w:val="24"/>
        </w:rPr>
      </w:pPr>
      <w:r>
        <w:rPr>
          <w:rFonts w:hint="eastAsia" w:ascii="Times New Roman" w:hAnsi="Times New Roman"/>
          <w:sz w:val="24"/>
        </w:rPr>
        <w:t>主管明细账：主管单位对所管辖单位的明细账进行查询。</w:t>
      </w:r>
    </w:p>
    <w:p>
      <w:pPr>
        <w:spacing w:line="360" w:lineRule="auto"/>
        <w:ind w:firstLine="480" w:firstLineChars="200"/>
        <w:rPr>
          <w:rFonts w:ascii="Times New Roman" w:hAnsi="Times New Roman"/>
          <w:sz w:val="24"/>
        </w:rPr>
      </w:pPr>
      <w:r>
        <w:rPr>
          <w:rFonts w:hint="eastAsia" w:ascii="Times New Roman" w:hAnsi="Times New Roman"/>
          <w:sz w:val="24"/>
        </w:rPr>
        <w:t>主管总分类账：主管单位对所管辖单位的总分类账进行查询。</w:t>
      </w:r>
    </w:p>
    <w:p>
      <w:pPr>
        <w:spacing w:line="360" w:lineRule="auto"/>
        <w:ind w:firstLine="480" w:firstLineChars="200"/>
        <w:rPr>
          <w:rFonts w:ascii="Times New Roman" w:hAnsi="Times New Roman"/>
          <w:sz w:val="24"/>
        </w:rPr>
      </w:pPr>
      <w:r>
        <w:rPr>
          <w:rFonts w:hint="eastAsia" w:ascii="Times New Roman" w:hAnsi="Times New Roman"/>
          <w:sz w:val="24"/>
        </w:rPr>
        <w:t>主管总账余额表：主管单位对所管辖单位的总账余额表进行查询。</w:t>
      </w:r>
    </w:p>
    <w:p>
      <w:pPr>
        <w:spacing w:line="360" w:lineRule="auto"/>
        <w:ind w:firstLine="480" w:firstLineChars="200"/>
        <w:rPr>
          <w:rFonts w:ascii="Times New Roman" w:hAnsi="Times New Roman"/>
          <w:sz w:val="24"/>
        </w:rPr>
      </w:pPr>
      <w:r>
        <w:rPr>
          <w:rFonts w:hint="eastAsia" w:ascii="Times New Roman" w:hAnsi="Times New Roman"/>
          <w:sz w:val="24"/>
        </w:rPr>
        <w:t>账务信息查询：主管单位可以根据实际需要，查看某单位在某个会计期间的财务处理情况：包括单位执行的会计科目体系，是否按期进行期末处理等，同时可将信息导出。</w:t>
      </w:r>
    </w:p>
    <w:p>
      <w:pPr>
        <w:spacing w:line="360" w:lineRule="auto"/>
        <w:ind w:firstLine="480" w:firstLineChars="200"/>
        <w:rPr>
          <w:rFonts w:ascii="Times New Roman" w:hAnsi="Times New Roman"/>
          <w:sz w:val="24"/>
        </w:rPr>
      </w:pPr>
      <w:r>
        <w:rPr>
          <w:rFonts w:hint="eastAsia" w:ascii="Times New Roman" w:hAnsi="Times New Roman"/>
          <w:sz w:val="24"/>
        </w:rPr>
        <w:t>下级单位账务查询：主管单位可以根据需要查询下级单位的财务情况，包括：科目总账余额表，科目明细账，辅助总账余额表，辅助明细账。</w:t>
      </w:r>
    </w:p>
    <w:p>
      <w:pPr>
        <w:spacing w:line="360" w:lineRule="auto"/>
        <w:ind w:firstLine="480" w:firstLineChars="200"/>
        <w:rPr>
          <w:rFonts w:ascii="Times New Roman" w:hAnsi="Times New Roman"/>
          <w:sz w:val="24"/>
        </w:rPr>
      </w:pPr>
      <w:r>
        <w:rPr>
          <w:rFonts w:hint="eastAsia" w:ascii="Times New Roman" w:hAnsi="Times New Roman"/>
          <w:sz w:val="24"/>
        </w:rPr>
        <w:t>同时该功能应对跨单位、跨账套的财务数据进行自动汇总、综合查询、数据追踪、动态分析和监管等，对账务数据进行综合评价，按照不同的角度反映、评估基金的收支运行情况。能够自定义查询模板,保存自定义模板随时调用。</w:t>
      </w:r>
    </w:p>
    <w:p>
      <w:pPr>
        <w:spacing w:line="360" w:lineRule="auto"/>
        <w:ind w:firstLine="480" w:firstLineChars="200"/>
        <w:rPr>
          <w:rFonts w:ascii="Times New Roman" w:hAnsi="Times New Roman"/>
          <w:sz w:val="24"/>
        </w:rPr>
      </w:pPr>
      <w:r>
        <w:rPr>
          <w:rFonts w:hint="eastAsia" w:ascii="Times New Roman" w:hAnsi="Times New Roman"/>
          <w:sz w:val="24"/>
        </w:rPr>
        <w:t>8.多方对账管理</w:t>
      </w:r>
    </w:p>
    <w:p>
      <w:pPr>
        <w:spacing w:line="360" w:lineRule="auto"/>
        <w:ind w:firstLine="480" w:firstLineChars="200"/>
        <w:rPr>
          <w:rFonts w:ascii="Times New Roman" w:hAnsi="Times New Roman"/>
          <w:sz w:val="24"/>
        </w:rPr>
      </w:pPr>
      <w:r>
        <w:rPr>
          <w:rFonts w:hint="eastAsia" w:ascii="Times New Roman" w:hAnsi="Times New Roman"/>
          <w:sz w:val="24"/>
        </w:rPr>
        <w:t>支持业务经办、税务、基金财务、银行以及财政等所涉及的多方对于基金收支数据的对账管理。针对于不同部门间的对账，设置多方对账机制，根据业务逻辑设置不同的对账规则。形成医保与外部门银行、财政、税务等多方对账。内部完成出纳与会计对账、上下级对账、稽核部门对账等。可支持自动对账和手工对账，提高系统自动对账的准确性，对账不成功的数据生成余额调节表、差异分析表和暂收暂付记账凭证。支持对未达账项的定期提醒。</w:t>
      </w:r>
    </w:p>
    <w:p>
      <w:pPr>
        <w:spacing w:line="360" w:lineRule="auto"/>
        <w:ind w:firstLine="480" w:firstLineChars="200"/>
        <w:rPr>
          <w:rFonts w:ascii="Times New Roman" w:hAnsi="Times New Roman"/>
          <w:sz w:val="24"/>
        </w:rPr>
      </w:pPr>
      <w:r>
        <w:rPr>
          <w:rFonts w:hint="eastAsia" w:ascii="Times New Roman" w:hAnsi="Times New Roman"/>
          <w:sz w:val="24"/>
        </w:rPr>
        <w:t>对账规则：总额核对。征收对账，按照周期、按单位业务方式，定期传输完成。对账成功的生成记账凭证。</w:t>
      </w:r>
    </w:p>
    <w:p>
      <w:pPr>
        <w:spacing w:line="360" w:lineRule="auto"/>
        <w:ind w:firstLine="480" w:firstLineChars="200"/>
        <w:rPr>
          <w:rFonts w:ascii="Times New Roman" w:hAnsi="Times New Roman"/>
          <w:sz w:val="24"/>
        </w:rPr>
      </w:pPr>
      <w:r>
        <w:rPr>
          <w:rFonts w:hint="eastAsia" w:ascii="Times New Roman" w:hAnsi="Times New Roman"/>
          <w:sz w:val="24"/>
        </w:rPr>
        <w:t>系统支持对账单下载、导出、打印功能；</w:t>
      </w:r>
    </w:p>
    <w:p>
      <w:pPr>
        <w:spacing w:line="360" w:lineRule="auto"/>
        <w:ind w:firstLine="480" w:firstLineChars="200"/>
        <w:rPr>
          <w:rFonts w:ascii="Times New Roman" w:hAnsi="Times New Roman"/>
          <w:sz w:val="24"/>
        </w:rPr>
      </w:pPr>
      <w:r>
        <w:rPr>
          <w:rFonts w:hint="eastAsia" w:ascii="Times New Roman" w:hAnsi="Times New Roman"/>
          <w:sz w:val="24"/>
        </w:rPr>
        <w:t>系统支持自动对账、取消对账、人工核对等功能。</w:t>
      </w:r>
    </w:p>
    <w:p>
      <w:pPr>
        <w:spacing w:line="360" w:lineRule="auto"/>
        <w:ind w:firstLine="480" w:firstLineChars="200"/>
        <w:rPr>
          <w:rFonts w:ascii="Times New Roman" w:hAnsi="Times New Roman"/>
          <w:sz w:val="24"/>
        </w:rPr>
      </w:pPr>
      <w:r>
        <w:rPr>
          <w:rFonts w:hint="eastAsia" w:ascii="Times New Roman" w:hAnsi="Times New Roman"/>
          <w:sz w:val="24"/>
        </w:rPr>
        <w:t>系统对账成功后，支持自动生成各险种收入凭证。</w:t>
      </w:r>
    </w:p>
    <w:p>
      <w:pPr>
        <w:spacing w:line="360" w:lineRule="auto"/>
        <w:ind w:firstLine="480" w:firstLineChars="200"/>
        <w:rPr>
          <w:rFonts w:ascii="Times New Roman" w:hAnsi="Times New Roman"/>
          <w:sz w:val="24"/>
        </w:rPr>
      </w:pPr>
      <w:r>
        <w:rPr>
          <w:rFonts w:hint="eastAsia" w:ascii="Times New Roman" w:hAnsi="Times New Roman"/>
          <w:sz w:val="24"/>
        </w:rPr>
        <w:t>9.基金请款管理</w:t>
      </w:r>
    </w:p>
    <w:p>
      <w:pPr>
        <w:spacing w:line="360" w:lineRule="auto"/>
        <w:ind w:firstLine="480" w:firstLineChars="200"/>
        <w:rPr>
          <w:rFonts w:ascii="Times New Roman" w:hAnsi="Times New Roman"/>
          <w:sz w:val="24"/>
        </w:rPr>
      </w:pPr>
      <w:r>
        <w:rPr>
          <w:rFonts w:hint="eastAsia" w:ascii="Times New Roman" w:hAnsi="Times New Roman"/>
          <w:sz w:val="24"/>
        </w:rPr>
        <w:t>提供预付金管理、用款计划管理和财政专户管理功能，为各级经办机构人员提供方便，无人工干预。通过系统向财政提交基金用款申请，与预算相关联，无纸化办公，财政审批拨付进度可跟踪查看，一方面提高医保基金财务管理人员工作效率，同时为财政社保资金监管提供准确数据支撑。通过财政专户管理可实时查询不同行政区划财政专户电子凭证信息及财政入国库信息。为经办机构准确实时核算收入提供数据支撑。包括用款计划制单、用款计划审批、流程跟踪、财政专户管理等功能。</w:t>
      </w:r>
    </w:p>
    <w:p>
      <w:pPr>
        <w:spacing w:line="360" w:lineRule="auto"/>
        <w:ind w:firstLine="480" w:firstLineChars="200"/>
        <w:rPr>
          <w:rFonts w:ascii="Times New Roman" w:hAnsi="Times New Roman"/>
          <w:sz w:val="24"/>
        </w:rPr>
      </w:pPr>
      <w:r>
        <w:rPr>
          <w:rFonts w:hint="eastAsia" w:ascii="Times New Roman" w:hAnsi="Times New Roman"/>
          <w:sz w:val="24"/>
        </w:rPr>
        <w:t>10.基金两表合一报表</w:t>
      </w:r>
    </w:p>
    <w:p>
      <w:pPr>
        <w:spacing w:line="360" w:lineRule="auto"/>
        <w:ind w:firstLine="480" w:firstLineChars="200"/>
        <w:rPr>
          <w:rFonts w:ascii="Times New Roman" w:hAnsi="Times New Roman"/>
          <w:sz w:val="24"/>
        </w:rPr>
      </w:pPr>
      <w:r>
        <w:rPr>
          <w:rFonts w:hint="eastAsia" w:ascii="Times New Roman" w:hAnsi="Times New Roman"/>
          <w:sz w:val="24"/>
        </w:rPr>
        <w:t>实现医保基金报表、财政社保基金预决算报表统一管理，自动获取财务系统、业务系统数据，实现一次录入分别生成两套报表，确保两套报表数据一致性，减化基层人员填报工作量，提升数据质量。</w:t>
      </w:r>
    </w:p>
    <w:p>
      <w:pPr>
        <w:spacing w:line="360" w:lineRule="auto"/>
        <w:ind w:firstLine="480" w:firstLineChars="200"/>
        <w:rPr>
          <w:rFonts w:ascii="Times New Roman" w:hAnsi="Times New Roman"/>
          <w:sz w:val="24"/>
        </w:rPr>
      </w:pPr>
      <w:r>
        <w:rPr>
          <w:rFonts w:hint="eastAsia" w:ascii="Times New Roman" w:hAnsi="Times New Roman"/>
          <w:sz w:val="24"/>
        </w:rPr>
        <w:t>11.业务统计报表</w:t>
      </w:r>
    </w:p>
    <w:p>
      <w:pPr>
        <w:spacing w:line="360" w:lineRule="auto"/>
        <w:ind w:firstLine="480" w:firstLineChars="200"/>
        <w:rPr>
          <w:rFonts w:ascii="Times New Roman" w:hAnsi="Times New Roman"/>
          <w:sz w:val="24"/>
        </w:rPr>
      </w:pPr>
      <w:r>
        <w:rPr>
          <w:rFonts w:hint="eastAsia" w:ascii="Times New Roman" w:hAnsi="Times New Roman"/>
          <w:sz w:val="24"/>
        </w:rPr>
        <w:t>通过业务财务一体化，直接提取业务系统中的业务数据。实现对业务统计报表管理。系统能全面满足各级社保部门及财政对社保数据需求。包括报表定义、数据采集、数据填报、汇总、报审、数据查询、数据分析等功能。</w:t>
      </w:r>
    </w:p>
    <w:p>
      <w:pPr>
        <w:spacing w:line="360" w:lineRule="auto"/>
        <w:ind w:firstLine="480" w:firstLineChars="200"/>
        <w:rPr>
          <w:rFonts w:ascii="Times New Roman" w:hAnsi="Times New Roman"/>
          <w:sz w:val="24"/>
        </w:rPr>
      </w:pPr>
      <w:r>
        <w:rPr>
          <w:rFonts w:hint="eastAsia" w:ascii="Times New Roman" w:hAnsi="Times New Roman"/>
          <w:sz w:val="24"/>
        </w:rPr>
        <w:t>12.基金决算管理</w:t>
      </w:r>
    </w:p>
    <w:p>
      <w:pPr>
        <w:spacing w:line="360" w:lineRule="auto"/>
        <w:ind w:firstLine="480" w:firstLineChars="200"/>
        <w:rPr>
          <w:rFonts w:ascii="Times New Roman" w:hAnsi="Times New Roman"/>
          <w:sz w:val="24"/>
        </w:rPr>
      </w:pPr>
      <w:r>
        <w:rPr>
          <w:rFonts w:hint="eastAsia" w:ascii="Times New Roman" w:hAnsi="Times New Roman"/>
          <w:sz w:val="24"/>
        </w:rPr>
        <w:t>年终时系统从业务子系统与财务系统提取数据，自动生成决算报表，医保财务部门将决算报表报送给财政进行汇审，最终上报给上一级医疗保障局，主要功能包括基金决算表任务接收、基金收支确认入账、暂收暂付往来款清理、账户余额查询、资产核对、年度结账、决算报表生成、决算表审核、决算表报送等。</w:t>
      </w:r>
    </w:p>
    <w:p>
      <w:pPr>
        <w:spacing w:line="360" w:lineRule="auto"/>
        <w:ind w:firstLine="480" w:firstLineChars="200"/>
        <w:rPr>
          <w:rFonts w:ascii="Times New Roman" w:hAnsi="Times New Roman"/>
          <w:sz w:val="24"/>
        </w:rPr>
      </w:pPr>
      <w:r>
        <w:rPr>
          <w:rFonts w:hint="eastAsia" w:ascii="Times New Roman" w:hAnsi="Times New Roman"/>
          <w:sz w:val="24"/>
        </w:rPr>
        <w:t>13.银行账户管理</w:t>
      </w:r>
    </w:p>
    <w:p>
      <w:pPr>
        <w:spacing w:line="360" w:lineRule="auto"/>
        <w:ind w:firstLine="480" w:firstLineChars="200"/>
        <w:rPr>
          <w:rFonts w:ascii="Times New Roman" w:hAnsi="Times New Roman"/>
          <w:sz w:val="24"/>
        </w:rPr>
      </w:pPr>
      <w:r>
        <w:rPr>
          <w:rFonts w:hint="eastAsia" w:ascii="Times New Roman" w:hAnsi="Times New Roman"/>
          <w:sz w:val="24"/>
        </w:rPr>
        <w:t>银行账户管理实现对收入户、支出户、财政专户等账户的管理，包括对账户信息进行维护，实时查看各账户余额，生成余额趋势表，收支账户对应关系维护，防止串险种，对各个账户收、支、余进行分析，确保基金健康运行。</w:t>
      </w:r>
    </w:p>
    <w:p>
      <w:pPr>
        <w:spacing w:line="360" w:lineRule="auto"/>
        <w:ind w:firstLine="480" w:firstLineChars="200"/>
        <w:rPr>
          <w:rFonts w:ascii="Times New Roman" w:hAnsi="Times New Roman"/>
          <w:sz w:val="24"/>
        </w:rPr>
      </w:pPr>
      <w:r>
        <w:rPr>
          <w:rFonts w:hint="eastAsia" w:ascii="Times New Roman" w:hAnsi="Times New Roman"/>
          <w:sz w:val="24"/>
        </w:rPr>
        <w:t>支持实时获取各险种账户的余额、交易流水明细，支持对银行账户余额以及流水的定制化查询。</w:t>
      </w:r>
    </w:p>
    <w:p>
      <w:pPr>
        <w:spacing w:line="360" w:lineRule="auto"/>
        <w:ind w:firstLine="480" w:firstLineChars="200"/>
        <w:rPr>
          <w:rFonts w:ascii="Times New Roman" w:hAnsi="Times New Roman"/>
          <w:sz w:val="24"/>
        </w:rPr>
      </w:pPr>
      <w:r>
        <w:rPr>
          <w:rFonts w:hint="eastAsia" w:ascii="Times New Roman" w:hAnsi="Times New Roman"/>
          <w:sz w:val="24"/>
        </w:rPr>
        <w:t>支持对交易账户设置关联关系，防止非法异常支出。</w:t>
      </w:r>
    </w:p>
    <w:p>
      <w:pPr>
        <w:spacing w:line="360" w:lineRule="auto"/>
        <w:ind w:firstLine="480" w:firstLineChars="200"/>
        <w:rPr>
          <w:rFonts w:ascii="Times New Roman" w:hAnsi="Times New Roman"/>
          <w:sz w:val="24"/>
        </w:rPr>
      </w:pPr>
      <w:r>
        <w:rPr>
          <w:rFonts w:hint="eastAsia" w:ascii="Times New Roman" w:hAnsi="Times New Roman"/>
          <w:sz w:val="24"/>
        </w:rPr>
        <w:t>14.基金可视化管控</w:t>
      </w:r>
    </w:p>
    <w:p>
      <w:pPr>
        <w:spacing w:line="360" w:lineRule="auto"/>
        <w:ind w:firstLine="480" w:firstLineChars="200"/>
        <w:rPr>
          <w:rFonts w:ascii="Times New Roman" w:hAnsi="Times New Roman"/>
          <w:sz w:val="24"/>
        </w:rPr>
      </w:pPr>
      <w:r>
        <w:rPr>
          <w:rFonts w:hint="eastAsia" w:ascii="Times New Roman" w:hAnsi="Times New Roman"/>
          <w:sz w:val="24"/>
        </w:rPr>
        <w:t>运用可视化管控技术做到控风险、助决策。可视化管控主要是在基金财务内控管理上运用“数据可视化”技术，实现收支数据与资金链条全程可视化。通过图表的变动，各项数据指标的比对，能清晰明的展现数据波动异常，方便财务管理者更为直观的抓出问题发生时点，从而细致梳理、分析，找出问题所在，及时纠正错误并对整个财务环节进行查缺补漏。功能包括基金收支余总览、收入分析、支出分析、基金预算执行情况实时分析、基金可支撑能力分析等，能够支持自助分析功能。</w:t>
      </w:r>
    </w:p>
    <w:p>
      <w:pPr>
        <w:spacing w:line="360" w:lineRule="auto"/>
        <w:ind w:firstLine="480" w:firstLineChars="200"/>
        <w:rPr>
          <w:rFonts w:ascii="Times New Roman" w:hAnsi="Times New Roman"/>
          <w:sz w:val="24"/>
        </w:rPr>
      </w:pPr>
      <w:r>
        <w:rPr>
          <w:rFonts w:hint="eastAsia" w:ascii="Times New Roman" w:hAnsi="Times New Roman"/>
          <w:sz w:val="24"/>
        </w:rPr>
        <w:t>15.电子会计档案</w:t>
      </w:r>
    </w:p>
    <w:p>
      <w:pPr>
        <w:spacing w:line="360" w:lineRule="auto"/>
        <w:ind w:firstLine="480" w:firstLineChars="200"/>
        <w:rPr>
          <w:rFonts w:ascii="Times New Roman" w:hAnsi="Times New Roman"/>
          <w:sz w:val="24"/>
        </w:rPr>
      </w:pPr>
      <w:r>
        <w:rPr>
          <w:rFonts w:hint="eastAsia" w:ascii="Times New Roman" w:hAnsi="Times New Roman"/>
          <w:sz w:val="24"/>
        </w:rPr>
        <w:t>实现将财务的会计凭证、会计账薄、财务会计报告、原始凭证等形成版式化文件，满足档案的采集、归档、保管、利用、处置的系统应用需求。确保相关资料的原始性和完整性保障、防篡改、防泄露，长期存储。解决传统的管理方式下，每一次档案需求进都要进行领导签字，每一次借阅都要通过档案管理人员的手工查询确认，确认档案是否未外借等等。</w:t>
      </w:r>
    </w:p>
    <w:p>
      <w:pPr>
        <w:spacing w:line="360" w:lineRule="auto"/>
        <w:ind w:firstLine="480" w:firstLineChars="200"/>
        <w:rPr>
          <w:rFonts w:ascii="Times New Roman" w:hAnsi="Times New Roman"/>
          <w:sz w:val="24"/>
        </w:rPr>
      </w:pPr>
      <w:r>
        <w:rPr>
          <w:rFonts w:hint="eastAsia" w:ascii="Times New Roman" w:hAnsi="Times New Roman"/>
          <w:sz w:val="24"/>
        </w:rPr>
        <w:t>16.资金清算</w:t>
      </w:r>
    </w:p>
    <w:p>
      <w:pPr>
        <w:spacing w:line="360" w:lineRule="auto"/>
        <w:ind w:firstLine="480" w:firstLineChars="200"/>
        <w:rPr>
          <w:rFonts w:ascii="Times New Roman" w:hAnsi="Times New Roman"/>
          <w:sz w:val="24"/>
        </w:rPr>
      </w:pPr>
      <w:r>
        <w:rPr>
          <w:rFonts w:hint="eastAsia" w:ascii="Times New Roman" w:hAnsi="Times New Roman"/>
          <w:sz w:val="24"/>
        </w:rPr>
        <w:t>资金清算包含代收代发管理、清算管理、报表统计等功能：</w:t>
      </w:r>
    </w:p>
    <w:p>
      <w:pPr>
        <w:spacing w:line="360" w:lineRule="auto"/>
        <w:ind w:firstLine="480" w:firstLineChars="200"/>
        <w:rPr>
          <w:rFonts w:ascii="Times New Roman" w:hAnsi="Times New Roman"/>
          <w:sz w:val="24"/>
        </w:rPr>
      </w:pPr>
      <w:r>
        <w:rPr>
          <w:rFonts w:hint="eastAsia" w:ascii="Times New Roman" w:hAnsi="Times New Roman"/>
          <w:sz w:val="24"/>
        </w:rPr>
        <w:t>代收代发管理：提供批量代收报盘、批量代收清算、批量代发退款、批量代发报盘；</w:t>
      </w:r>
    </w:p>
    <w:p>
      <w:pPr>
        <w:spacing w:line="360" w:lineRule="auto"/>
        <w:ind w:firstLine="480" w:firstLineChars="200"/>
        <w:rPr>
          <w:rFonts w:ascii="Times New Roman" w:hAnsi="Times New Roman"/>
          <w:sz w:val="24"/>
        </w:rPr>
      </w:pPr>
      <w:r>
        <w:rPr>
          <w:rFonts w:hint="eastAsia" w:ascii="Times New Roman" w:hAnsi="Times New Roman"/>
          <w:sz w:val="24"/>
        </w:rPr>
        <w:t>清算管理：提供清算管理包括资金清算、退款信息查询、批量数据下载、联机交易清算；</w:t>
      </w:r>
    </w:p>
    <w:p>
      <w:pPr>
        <w:spacing w:line="360" w:lineRule="auto"/>
        <w:ind w:firstLine="480" w:firstLineChars="200"/>
        <w:rPr>
          <w:rFonts w:ascii="Times New Roman" w:hAnsi="Times New Roman"/>
          <w:sz w:val="24"/>
        </w:rPr>
      </w:pPr>
      <w:r>
        <w:rPr>
          <w:rFonts w:hint="eastAsia" w:ascii="Times New Roman" w:hAnsi="Times New Roman"/>
          <w:sz w:val="24"/>
        </w:rPr>
        <w:t>报表统计：针对业务需求，生成不同类型报表，包括通过资金差异报表、批次错误信息查询、存款余额统计报表、交易差异报表、代扣凭证打印、转移支付审批、基金收支数据回写、批量代发报盘。</w:t>
      </w:r>
    </w:p>
    <w:p>
      <w:pPr>
        <w:spacing w:line="360" w:lineRule="auto"/>
        <w:ind w:firstLine="480" w:firstLineChars="200"/>
        <w:rPr>
          <w:rFonts w:ascii="Times New Roman" w:hAnsi="Times New Roman"/>
          <w:sz w:val="24"/>
        </w:rPr>
      </w:pPr>
      <w:r>
        <w:rPr>
          <w:rFonts w:hint="eastAsia" w:ascii="Times New Roman" w:hAnsi="Times New Roman"/>
          <w:sz w:val="24"/>
        </w:rPr>
        <w:t>17.历史数据迁移</w:t>
      </w:r>
    </w:p>
    <w:p>
      <w:pPr>
        <w:spacing w:line="360" w:lineRule="auto"/>
        <w:ind w:firstLine="480" w:firstLineChars="200"/>
        <w:rPr>
          <w:rFonts w:ascii="Times New Roman" w:hAnsi="Times New Roman"/>
          <w:sz w:val="24"/>
        </w:rPr>
      </w:pPr>
      <w:r>
        <w:rPr>
          <w:rFonts w:hint="eastAsia" w:ascii="Times New Roman" w:hAnsi="Times New Roman"/>
          <w:sz w:val="24"/>
        </w:rPr>
        <w:t>对原</w:t>
      </w:r>
      <w:r>
        <w:rPr>
          <w:rFonts w:hint="eastAsia" w:ascii="Times New Roman" w:hAnsi="Times New Roman"/>
          <w:sz w:val="24"/>
          <w:lang w:eastAsia="zh-CN"/>
        </w:rPr>
        <w:t>新疆维吾尔自治区</w:t>
      </w:r>
      <w:r>
        <w:rPr>
          <w:rFonts w:hint="eastAsia" w:ascii="Times New Roman" w:hAnsi="Times New Roman"/>
          <w:sz w:val="24"/>
        </w:rPr>
        <w:t>本级和各地州县市区医保基金原有财务系统的历史数据进行整理和转换。将原有系统中的数据按照财务规范进行清理和整理，做好数据备份。同时，将所有数据按照新系统建设的要求转换到新的系统中。</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业务财务协同管理</w:t>
      </w:r>
    </w:p>
    <w:p>
      <w:pPr>
        <w:spacing w:line="360" w:lineRule="auto"/>
        <w:ind w:firstLine="480" w:firstLineChars="200"/>
        <w:rPr>
          <w:rFonts w:ascii="Times New Roman" w:hAnsi="Times New Roman"/>
          <w:sz w:val="24"/>
        </w:rPr>
      </w:pPr>
      <w:r>
        <w:rPr>
          <w:rFonts w:hint="eastAsia" w:ascii="Times New Roman" w:hAnsi="Times New Roman"/>
          <w:sz w:val="24"/>
        </w:rPr>
        <w:t>1.财务与医保业务接口</w:t>
      </w:r>
    </w:p>
    <w:p>
      <w:pPr>
        <w:spacing w:line="360" w:lineRule="auto"/>
        <w:ind w:firstLine="480" w:firstLineChars="200"/>
        <w:rPr>
          <w:rFonts w:ascii="Times New Roman" w:hAnsi="Times New Roman"/>
          <w:sz w:val="24"/>
        </w:rPr>
      </w:pPr>
      <w:r>
        <w:rPr>
          <w:rFonts w:hint="eastAsia" w:ascii="Times New Roman" w:hAnsi="Times New Roman"/>
          <w:sz w:val="24"/>
        </w:rPr>
        <w:t>通过与医保业务系统建立统一规范的数据接口，实现与医保业务数据在财务部门和业务部门之间的交换，具体包括医疗费报销，异地医疗、药品费，生育津贴，医疗困难补助，继承，退保，转移，预划拨，药械款等业务数据的交互。</w:t>
      </w:r>
    </w:p>
    <w:p>
      <w:pPr>
        <w:spacing w:line="360" w:lineRule="auto"/>
        <w:ind w:firstLine="480" w:firstLineChars="200"/>
        <w:rPr>
          <w:rFonts w:ascii="Times New Roman" w:hAnsi="Times New Roman"/>
          <w:sz w:val="24"/>
        </w:rPr>
      </w:pPr>
      <w:r>
        <w:rPr>
          <w:rFonts w:hint="eastAsia" w:ascii="Times New Roman" w:hAnsi="Times New Roman"/>
          <w:sz w:val="24"/>
        </w:rPr>
        <w:t>2.财务与税务业务接口</w:t>
      </w:r>
    </w:p>
    <w:p>
      <w:pPr>
        <w:spacing w:line="360" w:lineRule="auto"/>
        <w:ind w:firstLine="480" w:firstLineChars="200"/>
        <w:rPr>
          <w:rFonts w:ascii="Times New Roman" w:hAnsi="Times New Roman"/>
          <w:sz w:val="24"/>
        </w:rPr>
      </w:pPr>
      <w:r>
        <w:rPr>
          <w:rFonts w:hint="eastAsia" w:ascii="Times New Roman" w:hAnsi="Times New Roman"/>
          <w:sz w:val="24"/>
        </w:rPr>
        <w:t>通过与税务建立统一规范的数据接口，实现与医保费征收相关的数据在医保部门和税务部门之间的交换，保证数据的真实性、及时性和完整性，实现信息共享和业务协同。实现基金收入管理以及税务征收后医保费缴费明细信息接收、税务部门已征收及已入库信息协同管理。具体功能包括实征信息同步、实征税务反馈、实征财务到账、税务入库信息查询、对账管理、收入退费管理、上解收入管理等。由医保部门完成医保费征缴工作后，完成与业务子系统的收入对账。</w:t>
      </w:r>
    </w:p>
    <w:p>
      <w:pPr>
        <w:spacing w:line="360" w:lineRule="auto"/>
        <w:ind w:firstLine="480" w:firstLineChars="200"/>
        <w:rPr>
          <w:rFonts w:ascii="Times New Roman" w:hAnsi="Times New Roman"/>
          <w:sz w:val="24"/>
        </w:rPr>
      </w:pPr>
      <w:r>
        <w:rPr>
          <w:rFonts w:hint="eastAsia" w:ascii="Times New Roman" w:hAnsi="Times New Roman"/>
          <w:sz w:val="24"/>
        </w:rPr>
        <w:t>3.财务与银行业务接口</w:t>
      </w:r>
    </w:p>
    <w:p>
      <w:pPr>
        <w:spacing w:line="360" w:lineRule="auto"/>
        <w:ind w:firstLine="480" w:firstLineChars="200"/>
        <w:rPr>
          <w:rFonts w:ascii="Times New Roman" w:hAnsi="Times New Roman"/>
          <w:sz w:val="24"/>
        </w:rPr>
      </w:pPr>
      <w:r>
        <w:rPr>
          <w:rFonts w:hint="eastAsia" w:ascii="Times New Roman" w:hAnsi="Times New Roman"/>
          <w:sz w:val="24"/>
        </w:rPr>
        <w:t>通过与银行建立统一规范的数据接口，实现与银行的无缝衔接，数据不落地。实时同步更新各类基金银行账户的数据信息，实现对电子交易平台中需要支付的支付文件发起资金支付指令，并实现银行支付情况反馈及对应业务信息的关联。完成多方对账，为生成财务凭证提供数据准备，同时通过对账能够加快清理未明款项和暂存暂付款的进程。</w:t>
      </w:r>
    </w:p>
    <w:p>
      <w:pPr>
        <w:spacing w:line="360" w:lineRule="auto"/>
        <w:ind w:firstLine="480" w:firstLineChars="200"/>
        <w:rPr>
          <w:rFonts w:ascii="Times New Roman" w:hAnsi="Times New Roman"/>
          <w:sz w:val="24"/>
        </w:rPr>
      </w:pPr>
      <w:r>
        <w:rPr>
          <w:rFonts w:hint="eastAsia" w:ascii="Times New Roman" w:hAnsi="Times New Roman"/>
          <w:sz w:val="24"/>
        </w:rPr>
        <w:t>4.医保与财政管理接口</w:t>
      </w:r>
    </w:p>
    <w:p>
      <w:pPr>
        <w:spacing w:line="360" w:lineRule="auto"/>
        <w:ind w:firstLine="480" w:firstLineChars="200"/>
        <w:rPr>
          <w:rFonts w:ascii="Times New Roman" w:hAnsi="Times New Roman"/>
          <w:sz w:val="24"/>
        </w:rPr>
      </w:pPr>
      <w:r>
        <w:rPr>
          <w:rFonts w:hint="eastAsia" w:ascii="Times New Roman" w:hAnsi="Times New Roman"/>
          <w:sz w:val="24"/>
        </w:rPr>
        <w:t>支持与财政系统对接，实现医保与财政部门间整合，实现数据向上集中、服务向下延伸、信息资源共享。按照双方约定的数据标准及规范，实现信息的共享和交换。同时，通过此接口实现医保基金预决算管理、医保基金收支审批管理以及医保基金收支监管等。</w:t>
      </w:r>
    </w:p>
    <w:p>
      <w:pPr>
        <w:spacing w:line="360" w:lineRule="auto"/>
        <w:ind w:firstLine="480" w:firstLineChars="200"/>
        <w:rPr>
          <w:rFonts w:ascii="Times New Roman" w:hAnsi="Times New Roman"/>
          <w:sz w:val="24"/>
        </w:rPr>
      </w:pPr>
      <w:r>
        <w:rPr>
          <w:rFonts w:hint="eastAsia" w:ascii="Times New Roman" w:hAnsi="Times New Roman"/>
          <w:sz w:val="24"/>
        </w:rPr>
        <w:t>5.基金财务交换库接口管理</w:t>
      </w:r>
    </w:p>
    <w:p>
      <w:pPr>
        <w:spacing w:line="360" w:lineRule="auto"/>
        <w:ind w:firstLine="480" w:firstLineChars="200"/>
        <w:rPr>
          <w:rFonts w:ascii="Times New Roman" w:hAnsi="Times New Roman"/>
          <w:sz w:val="24"/>
        </w:rPr>
      </w:pPr>
      <w:r>
        <w:rPr>
          <w:rFonts w:hint="eastAsia" w:ascii="Times New Roman" w:hAnsi="Times New Roman"/>
          <w:sz w:val="24"/>
        </w:rPr>
        <w:t>接收医疗保险系统的待遇支付及医疗保险费征收相关的数据及与银行、税务、财政、商业保险公司、配送企业等多部门的接口业务。交换库接口依托基金财务系统，提供的规范生成到对应的数据交换中间表中，支持后续其它业务子系统的无缝接入等。</w:t>
      </w:r>
    </w:p>
    <w:p>
      <w:pPr>
        <w:spacing w:line="360" w:lineRule="auto"/>
        <w:ind w:firstLine="480" w:firstLineChars="200"/>
        <w:rPr>
          <w:rFonts w:ascii="Times New Roman" w:hAnsi="Times New Roman"/>
          <w:sz w:val="24"/>
        </w:rPr>
      </w:pPr>
      <w:r>
        <w:rPr>
          <w:rFonts w:hint="eastAsia" w:ascii="Times New Roman" w:hAnsi="Times New Roman"/>
          <w:sz w:val="24"/>
        </w:rPr>
        <w:t>6.医保与商保管理接口管理</w:t>
      </w:r>
    </w:p>
    <w:p>
      <w:pPr>
        <w:spacing w:line="360" w:lineRule="auto"/>
        <w:ind w:firstLine="480" w:firstLineChars="200"/>
        <w:rPr>
          <w:rFonts w:ascii="Times New Roman" w:hAnsi="Times New Roman"/>
          <w:sz w:val="24"/>
        </w:rPr>
      </w:pPr>
      <w:r>
        <w:rPr>
          <w:rFonts w:hint="eastAsia" w:ascii="Times New Roman" w:hAnsi="Times New Roman"/>
          <w:sz w:val="24"/>
        </w:rPr>
        <w:t>支持与商保公司的对接，针对大病保险报销或长护险类业务，按照双方约定的接口标准规范，在年终完成大病保险业务结算后，医保按照合同金额支付给商业保险公司。</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医保专项财务管理</w:t>
      </w:r>
    </w:p>
    <w:p>
      <w:pPr>
        <w:spacing w:line="360" w:lineRule="auto"/>
        <w:ind w:firstLine="480" w:firstLineChars="200"/>
        <w:rPr>
          <w:rFonts w:ascii="Times New Roman" w:hAnsi="Times New Roman"/>
          <w:sz w:val="24"/>
        </w:rPr>
      </w:pPr>
      <w:r>
        <w:rPr>
          <w:rFonts w:hint="eastAsia" w:ascii="Times New Roman" w:hAnsi="Times New Roman"/>
          <w:sz w:val="24"/>
        </w:rPr>
        <w:t>针对药品和医用耗材招标采购资金、医疗救助资金、扶贫救助资金等专项资金进行财务管理。</w:t>
      </w:r>
    </w:p>
    <w:p>
      <w:pPr>
        <w:spacing w:line="360" w:lineRule="auto"/>
        <w:ind w:firstLine="480" w:firstLineChars="200"/>
        <w:rPr>
          <w:rFonts w:ascii="Times New Roman" w:hAnsi="Times New Roman"/>
          <w:sz w:val="24"/>
        </w:rPr>
      </w:pPr>
      <w:r>
        <w:rPr>
          <w:rFonts w:hint="eastAsia" w:ascii="Times New Roman" w:hAnsi="Times New Roman"/>
          <w:sz w:val="24"/>
        </w:rPr>
        <w:t>1.药品和医用耗材招标采购资金管理</w:t>
      </w:r>
    </w:p>
    <w:p>
      <w:pPr>
        <w:spacing w:line="360" w:lineRule="auto"/>
        <w:ind w:firstLine="480" w:firstLineChars="200"/>
        <w:rPr>
          <w:rFonts w:ascii="Times New Roman" w:hAnsi="Times New Roman"/>
          <w:sz w:val="24"/>
        </w:rPr>
      </w:pPr>
      <w:r>
        <w:rPr>
          <w:rFonts w:hint="eastAsia" w:ascii="Times New Roman" w:hAnsi="Times New Roman"/>
          <w:sz w:val="24"/>
        </w:rPr>
        <w:t>主要是向药品采购中心财务人员提供针对药品采购资金管理，确保资金全流程监控，采购资金支付要先预算、后计划、再执行，真正达到资金支付全流程可监测、各环节可控制、每项目可追溯、多维度可统计、执行情况可汇总。功能包括采购预算管理、采购计划管理、采购资金支付审核、采购支付管理、采购合同管理、采购资金结算管理。</w:t>
      </w:r>
    </w:p>
    <w:p>
      <w:pPr>
        <w:spacing w:line="360" w:lineRule="auto"/>
        <w:ind w:firstLine="480" w:firstLineChars="200"/>
        <w:rPr>
          <w:rFonts w:ascii="Times New Roman" w:hAnsi="Times New Roman"/>
          <w:sz w:val="24"/>
        </w:rPr>
      </w:pPr>
      <w:r>
        <w:rPr>
          <w:rFonts w:hint="eastAsia" w:ascii="Times New Roman" w:hAnsi="Times New Roman"/>
          <w:sz w:val="24"/>
        </w:rPr>
        <w:t>2.医疗救助资金管理</w:t>
      </w:r>
    </w:p>
    <w:p>
      <w:pPr>
        <w:spacing w:line="360" w:lineRule="auto"/>
        <w:ind w:firstLine="480" w:firstLineChars="200"/>
        <w:rPr>
          <w:rFonts w:ascii="Times New Roman" w:hAnsi="Times New Roman"/>
          <w:sz w:val="24"/>
        </w:rPr>
      </w:pPr>
      <w:r>
        <w:rPr>
          <w:rFonts w:hint="eastAsia" w:ascii="Times New Roman" w:hAnsi="Times New Roman"/>
          <w:sz w:val="24"/>
        </w:rPr>
        <w:t>根据医疗救助资金业务的相关制度及流程梳理，为经办机构人员提供无纸化资金全程电子化管理工具，降低资金流转各环节的风险，确保资金安全。功能包括资金审批、资金支付、资金核算等。</w:t>
      </w:r>
    </w:p>
    <w:p>
      <w:pPr>
        <w:spacing w:line="360" w:lineRule="auto"/>
        <w:ind w:firstLine="480" w:firstLineChars="200"/>
        <w:rPr>
          <w:rFonts w:ascii="Times New Roman" w:hAnsi="Times New Roman"/>
          <w:sz w:val="24"/>
        </w:rPr>
      </w:pPr>
      <w:r>
        <w:rPr>
          <w:rFonts w:hint="eastAsia" w:ascii="Times New Roman" w:hAnsi="Times New Roman"/>
          <w:sz w:val="24"/>
        </w:rPr>
        <w:t>3.医保专项资金管理</w:t>
      </w:r>
    </w:p>
    <w:p>
      <w:pPr>
        <w:spacing w:line="360" w:lineRule="auto"/>
        <w:ind w:firstLine="480" w:firstLineChars="200"/>
        <w:rPr>
          <w:rFonts w:ascii="Times New Roman" w:hAnsi="Times New Roman"/>
          <w:sz w:val="24"/>
        </w:rPr>
      </w:pPr>
      <w:r>
        <w:rPr>
          <w:rFonts w:hint="eastAsia" w:ascii="Times New Roman" w:hAnsi="Times New Roman"/>
          <w:sz w:val="24"/>
        </w:rPr>
        <w:t>医保专项资金管理子系统主要针对于自治区医疗保障局特殊类的专项资金管理，为了确保专项资金的使用效益，建立项目预算资金执行监管机制，为专项资金提供项目库管理，实现资金管理紧密围绕项目管理，资金管理的依据是项目，项目管理系统是针对专项项目从申请到资金拨付、核算的全过程管理，资金管理受项目管理制约。提高项目预算执行和财务管理的科学化、规范化与精细化水平。</w:t>
      </w:r>
    </w:p>
    <w:p>
      <w:pPr>
        <w:spacing w:line="360" w:lineRule="auto"/>
        <w:ind w:firstLine="480" w:firstLineChars="200"/>
        <w:rPr>
          <w:rFonts w:ascii="Times New Roman" w:hAnsi="Times New Roman"/>
          <w:sz w:val="24"/>
        </w:rPr>
      </w:pPr>
      <w:r>
        <w:rPr>
          <w:rFonts w:hint="eastAsia" w:ascii="Times New Roman" w:hAnsi="Times New Roman"/>
          <w:sz w:val="24"/>
        </w:rPr>
        <w:t>对医疗保障专项资金的全面、实时、动态监控，从项目立项、预算审批、资金支付、资金执行和财务核算全程电子化管理，从各个环节入手打造医疗保障专项资金全过程管理平台，对事前、事中、事后进行全面监控，从根本上杜绝资金挤占、挪用、占用，提高专项项目资金落实率和精细化管理水平。</w:t>
      </w:r>
    </w:p>
    <w:p>
      <w:pPr>
        <w:spacing w:line="360" w:lineRule="auto"/>
        <w:ind w:firstLine="480" w:firstLineChars="200"/>
        <w:rPr>
          <w:rFonts w:ascii="Times New Roman" w:hAnsi="Times New Roman"/>
          <w:sz w:val="24"/>
        </w:rPr>
      </w:pPr>
      <w:r>
        <w:rPr>
          <w:rFonts w:hint="eastAsia" w:ascii="Times New Roman" w:hAnsi="Times New Roman"/>
          <w:sz w:val="24"/>
        </w:rPr>
        <w:t>专项资金管理功能包括项目库管理、指标管理、用款计划申请、资金支付审批、报销管理、资金支付、财务核算及决策分析。</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部门内部财务管控</w:t>
      </w:r>
    </w:p>
    <w:p>
      <w:pPr>
        <w:spacing w:line="360" w:lineRule="auto"/>
        <w:ind w:firstLine="480" w:firstLineChars="200"/>
        <w:rPr>
          <w:rFonts w:ascii="Times New Roman" w:hAnsi="Times New Roman"/>
          <w:sz w:val="24"/>
        </w:rPr>
      </w:pPr>
      <w:r>
        <w:rPr>
          <w:rFonts w:hint="eastAsia" w:ascii="Times New Roman" w:hAnsi="Times New Roman"/>
          <w:sz w:val="24"/>
        </w:rPr>
        <w:t>按照自治区医疗保障局内部业务流程，构建预算编审、指标管理、预算执行、账务处理、预算执行评价、协同办公、综合监督一体化布局，未来将逐步的向人权、物权方面完善，最终将完成单位内部完整的控制体系。包括六大业务控制、业务综合集成一体化，其中六大业务控制包括预算业务管控、收支业务管控、采购业务管控、合同业务管控、项目业务管控、资产业务管控。</w:t>
      </w:r>
    </w:p>
    <w:p>
      <w:pPr>
        <w:spacing w:line="360" w:lineRule="auto"/>
        <w:ind w:firstLine="480" w:firstLineChars="200"/>
        <w:rPr>
          <w:rFonts w:ascii="Times New Roman" w:hAnsi="Times New Roman"/>
          <w:sz w:val="24"/>
        </w:rPr>
      </w:pPr>
      <w:r>
        <w:rPr>
          <w:rFonts w:hint="eastAsia" w:ascii="Times New Roman" w:hAnsi="Times New Roman"/>
          <w:sz w:val="24"/>
        </w:rPr>
        <w:t>1.预算业务管控</w:t>
      </w:r>
    </w:p>
    <w:p>
      <w:pPr>
        <w:spacing w:line="360" w:lineRule="auto"/>
        <w:ind w:firstLine="480" w:firstLineChars="200"/>
        <w:rPr>
          <w:rFonts w:ascii="Times New Roman" w:hAnsi="Times New Roman"/>
          <w:sz w:val="24"/>
        </w:rPr>
      </w:pPr>
      <w:r>
        <w:rPr>
          <w:rFonts w:hint="eastAsia" w:ascii="Times New Roman" w:hAnsi="Times New Roman"/>
          <w:sz w:val="24"/>
        </w:rPr>
        <w:t>下达财政预算及追调，实现内部预算分解，内部预算发布，预算控制要求下达。功能包括预算编报、指标管理等。</w:t>
      </w:r>
    </w:p>
    <w:p>
      <w:pPr>
        <w:spacing w:line="360" w:lineRule="auto"/>
        <w:ind w:firstLine="480" w:firstLineChars="200"/>
        <w:rPr>
          <w:rFonts w:ascii="Times New Roman" w:hAnsi="Times New Roman"/>
          <w:sz w:val="24"/>
        </w:rPr>
      </w:pPr>
      <w:r>
        <w:rPr>
          <w:rFonts w:hint="eastAsia" w:ascii="Times New Roman" w:hAnsi="Times New Roman"/>
          <w:sz w:val="24"/>
        </w:rPr>
        <w:t>2.收支业务管控</w:t>
      </w:r>
    </w:p>
    <w:p>
      <w:pPr>
        <w:spacing w:line="360" w:lineRule="auto"/>
        <w:ind w:firstLine="480" w:firstLineChars="200"/>
        <w:rPr>
          <w:rFonts w:ascii="Times New Roman" w:hAnsi="Times New Roman"/>
          <w:sz w:val="24"/>
        </w:rPr>
      </w:pPr>
      <w:r>
        <w:rPr>
          <w:rFonts w:hint="eastAsia" w:ascii="Times New Roman" w:hAnsi="Times New Roman"/>
          <w:sz w:val="24"/>
        </w:rPr>
        <w:t>提供完善的资金收支管控体系，涵盖内部财务所有资金来源。按预算要求进行预算支出执行，支持事前预算执行申请，提供分事项、分级次、分额度的审核审批流程，主动推送；按照预算控制要求，严控“超预算、超范围”的支出行为，提供支出标准控制、特定费用限额控制；针对“三公”及重点支出经费，提供单位及部门费用支出总额控制；提供支出单据打印模板自定义。功能包括收入管理、事项申请、网上报销等。</w:t>
      </w:r>
    </w:p>
    <w:p>
      <w:pPr>
        <w:spacing w:line="360" w:lineRule="auto"/>
        <w:ind w:firstLine="480" w:firstLineChars="200"/>
        <w:rPr>
          <w:rFonts w:ascii="Times New Roman" w:hAnsi="Times New Roman"/>
          <w:sz w:val="24"/>
        </w:rPr>
      </w:pPr>
      <w:r>
        <w:rPr>
          <w:rFonts w:hint="eastAsia" w:ascii="Times New Roman" w:hAnsi="Times New Roman"/>
          <w:sz w:val="24"/>
        </w:rPr>
        <w:t>3.采购业务管控</w:t>
      </w:r>
    </w:p>
    <w:p>
      <w:pPr>
        <w:spacing w:line="360" w:lineRule="auto"/>
        <w:ind w:firstLine="480" w:firstLineChars="200"/>
        <w:rPr>
          <w:rFonts w:ascii="Times New Roman" w:hAnsi="Times New Roman"/>
          <w:sz w:val="24"/>
        </w:rPr>
      </w:pPr>
      <w:r>
        <w:rPr>
          <w:rFonts w:hint="eastAsia" w:ascii="Times New Roman" w:hAnsi="Times New Roman"/>
          <w:sz w:val="24"/>
        </w:rPr>
        <w:t>根据不同的采购方式和招标组织形式，可以实现采购过程灵活配置，满足财政的要求，进行采购过程信息的备案登记；针对特定的采购方式，提供“随机抽取”机制选择，可实现对招标代理机构和预选供应商的随机抽取，避免“一对一”谈价（使得其“不能”或“不易”违规）</w:t>
      </w:r>
    </w:p>
    <w:p>
      <w:pPr>
        <w:spacing w:line="360" w:lineRule="auto"/>
        <w:ind w:firstLine="480" w:firstLineChars="200"/>
        <w:rPr>
          <w:rFonts w:ascii="Times New Roman" w:hAnsi="Times New Roman"/>
          <w:sz w:val="24"/>
        </w:rPr>
      </w:pPr>
      <w:r>
        <w:rPr>
          <w:rFonts w:hint="eastAsia" w:ascii="Times New Roman" w:hAnsi="Times New Roman"/>
          <w:sz w:val="24"/>
        </w:rPr>
        <w:t>根据不同的采购方式和招标组织形式，可以实现采购过程灵活配置，采购过程信息的备案登记；针对特定的采购方式，提供“随机抽取”机制选择，实现对招标代理机构和预选供应商的随机抽取，避免“一对一”谈价（使得其“不能”或“不易”违规）。</w:t>
      </w:r>
    </w:p>
    <w:p>
      <w:pPr>
        <w:spacing w:line="360" w:lineRule="auto"/>
        <w:ind w:firstLine="480" w:firstLineChars="200"/>
        <w:rPr>
          <w:rFonts w:ascii="Times New Roman" w:hAnsi="Times New Roman"/>
          <w:sz w:val="24"/>
        </w:rPr>
      </w:pPr>
      <w:r>
        <w:rPr>
          <w:rFonts w:hint="eastAsia" w:ascii="Times New Roman" w:hAnsi="Times New Roman"/>
          <w:sz w:val="24"/>
        </w:rPr>
        <w:t>采购业务管控包括但不限于基础信息管理、采购预算管理、采购计划管理、合同管理、验收管理、采购结算、资金支付等功能。</w:t>
      </w:r>
    </w:p>
    <w:p>
      <w:pPr>
        <w:spacing w:line="360" w:lineRule="auto"/>
        <w:ind w:firstLine="480" w:firstLineChars="200"/>
        <w:rPr>
          <w:rFonts w:ascii="Times New Roman" w:hAnsi="Times New Roman"/>
          <w:sz w:val="24"/>
        </w:rPr>
      </w:pPr>
      <w:r>
        <w:rPr>
          <w:rFonts w:hint="eastAsia" w:ascii="Times New Roman" w:hAnsi="Times New Roman"/>
          <w:sz w:val="24"/>
        </w:rPr>
        <w:t>4.合同业务管控</w:t>
      </w:r>
    </w:p>
    <w:p>
      <w:pPr>
        <w:spacing w:line="360" w:lineRule="auto"/>
        <w:ind w:firstLine="480" w:firstLineChars="200"/>
        <w:rPr>
          <w:rFonts w:ascii="Times New Roman" w:hAnsi="Times New Roman"/>
          <w:sz w:val="24"/>
        </w:rPr>
      </w:pPr>
      <w:r>
        <w:rPr>
          <w:rFonts w:hint="eastAsia" w:ascii="Times New Roman" w:hAnsi="Times New Roman"/>
          <w:sz w:val="24"/>
        </w:rPr>
        <w:t>合同业务管控完整记录工程、外包、购置以及招投标相关协议的合同信息，对合同生成收、付款计划，并按时提醒完成合同收、付款处理，在合同期结束之前，出具合同到期提醒通知书，通知下期合同收付款准备，实现合同全生命周期完整管理。提供统一的合同管理功能，可以对所有的合同信息进行集中管理。电子化的合同便于领导在审批时进行各项合同的查阅，合同业务管控包括但不限于合同登记、合同执行、合同结算、合同分析等功能。</w:t>
      </w:r>
    </w:p>
    <w:p>
      <w:pPr>
        <w:spacing w:line="360" w:lineRule="auto"/>
        <w:ind w:firstLine="480" w:firstLineChars="200"/>
        <w:rPr>
          <w:rFonts w:ascii="Times New Roman" w:hAnsi="Times New Roman"/>
          <w:sz w:val="24"/>
        </w:rPr>
      </w:pPr>
      <w:r>
        <w:rPr>
          <w:rFonts w:hint="eastAsia" w:ascii="Times New Roman" w:hAnsi="Times New Roman"/>
          <w:sz w:val="24"/>
        </w:rPr>
        <w:t>5.项目业务管控</w:t>
      </w:r>
    </w:p>
    <w:p>
      <w:pPr>
        <w:spacing w:line="360" w:lineRule="auto"/>
        <w:ind w:firstLine="480" w:firstLineChars="200"/>
        <w:rPr>
          <w:rFonts w:ascii="Times New Roman" w:hAnsi="Times New Roman"/>
          <w:sz w:val="24"/>
        </w:rPr>
      </w:pPr>
      <w:r>
        <w:rPr>
          <w:rFonts w:hint="eastAsia" w:ascii="Times New Roman" w:hAnsi="Times New Roman"/>
          <w:sz w:val="24"/>
        </w:rPr>
        <w:t>实现内部项目立项申报审核审批，提供预算定额标准库支持，规范化、标准化项目预算编制；设置项目关键阶段节点，跟踪关键成果物的提交情况、跟进其进展情况，作为项目支付的依据，实现项目业务的控制。</w:t>
      </w:r>
    </w:p>
    <w:p>
      <w:pPr>
        <w:spacing w:line="360" w:lineRule="auto"/>
        <w:ind w:firstLine="480" w:firstLineChars="200"/>
        <w:rPr>
          <w:rFonts w:ascii="Times New Roman" w:hAnsi="Times New Roman"/>
          <w:sz w:val="24"/>
        </w:rPr>
      </w:pPr>
      <w:r>
        <w:rPr>
          <w:rFonts w:hint="eastAsia" w:ascii="Times New Roman" w:hAnsi="Times New Roman"/>
          <w:sz w:val="24"/>
        </w:rPr>
        <w:t>6.资产业务管控</w:t>
      </w:r>
    </w:p>
    <w:p>
      <w:pPr>
        <w:spacing w:line="360" w:lineRule="auto"/>
        <w:ind w:firstLine="480" w:firstLineChars="200"/>
        <w:rPr>
          <w:rFonts w:ascii="Times New Roman" w:hAnsi="Times New Roman"/>
          <w:sz w:val="24"/>
        </w:rPr>
      </w:pPr>
      <w:r>
        <w:rPr>
          <w:rFonts w:hint="eastAsia" w:ascii="Times New Roman" w:hAnsi="Times New Roman"/>
          <w:sz w:val="24"/>
        </w:rPr>
        <w:t>管理资产的合法取得，提供资产处置审核审批流程，确保资产不随意流失；对超标准配置风险，提供资产配置预警。</w:t>
      </w:r>
    </w:p>
    <w:p>
      <w:pPr>
        <w:spacing w:line="360" w:lineRule="auto"/>
        <w:ind w:firstLine="480" w:firstLineChars="200"/>
        <w:rPr>
          <w:rFonts w:ascii="Times New Roman" w:hAnsi="Times New Roman"/>
          <w:sz w:val="24"/>
        </w:rPr>
      </w:pPr>
      <w:r>
        <w:rPr>
          <w:rFonts w:hint="eastAsia" w:ascii="Times New Roman" w:hAnsi="Times New Roman"/>
          <w:sz w:val="24"/>
        </w:rPr>
        <w:t>7.业务综合集成一体化</w:t>
      </w:r>
    </w:p>
    <w:p>
      <w:pPr>
        <w:spacing w:line="360" w:lineRule="auto"/>
        <w:ind w:firstLine="480" w:firstLineChars="200"/>
        <w:rPr>
          <w:rFonts w:ascii="Times New Roman" w:hAnsi="Times New Roman"/>
          <w:sz w:val="24"/>
        </w:rPr>
      </w:pPr>
      <w:r>
        <w:rPr>
          <w:rFonts w:hint="eastAsia" w:ascii="Times New Roman" w:hAnsi="Times New Roman"/>
          <w:sz w:val="24"/>
        </w:rPr>
        <w:t>建立数据交换标准，与财政业务系统以及其它外围系统紧密衔接，通过接口进行数据交换，满足各方的需要。</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软件技术需求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1.访问用户数要求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业务财务一体化管理子系统支持访问的总用户数不低于</w:t>
      </w:r>
      <w:r>
        <w:rPr>
          <w:rFonts w:ascii="Times New Roman" w:hAnsi="Times New Roman"/>
          <w:color w:val="000000"/>
          <w:sz w:val="24"/>
        </w:rPr>
        <w:t>50</w:t>
      </w:r>
      <w:r>
        <w:rPr>
          <w:rFonts w:hint="eastAsia" w:ascii="Times New Roman" w:hAnsi="Times New Roman"/>
          <w:color w:val="000000"/>
          <w:sz w:val="24"/>
        </w:rPr>
        <w:t>00人，最大支持在线用户数不低于1500人。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2.并发业务量要求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业务财务一体化管理子系统支持的并发业务量大于10笔/秒；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r>
        <w:rPr>
          <w:rFonts w:hint="eastAsia" w:ascii="Times New Roman" w:hAnsi="Times New Roman"/>
          <w:color w:val="FF0000"/>
          <w:sz w:val="24"/>
        </w:rPr>
        <w:t xml:space="preserve"> </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 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 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 xml:space="preserve">3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 xml:space="preserve">3 </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项目服务要求</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投标方应提供业务财务一体化管理子系统相关功能模块的集成工作，包括相关软件部署，系统软件上线运行等。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投标方应配合软件集成商完成与其他系统之间的互联、测试等。</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20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 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投标方参与人员数量：针对本标包业务系统：总数不少于9人。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（6）数据迁移</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投标方参与人员数量，总数不少于6人。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投标方至少需提交的文档：数据清洗、转换、迁移总体方案、历史数据情况调研报告、软硬件环境需求、数据迁移脚本、数据迁移应急方案、数据质量验证报告等。</w:t>
      </w:r>
    </w:p>
    <w:p>
      <w:pPr>
        <w:spacing w:line="360" w:lineRule="auto"/>
        <w:ind w:firstLine="480" w:firstLineChars="200"/>
        <w:rPr>
          <w:rFonts w:ascii="Times New Roman" w:hAnsi="Times New Roman"/>
          <w:sz w:val="24"/>
        </w:rPr>
      </w:pPr>
      <w:r>
        <w:rPr>
          <w:rFonts w:hint="eastAsia" w:ascii="Times New Roman" w:hAnsi="Times New Roman"/>
          <w:sz w:val="24"/>
        </w:rPr>
        <w:t>（7）驻场服务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本项目服务期内需提供至少6名本项目专职长期驻场工程师，驻场工程师工作量不额外计费，驻场工程师具备本系统进行修改、调整能力，并按客户要求调整本系统（包括驻场工程师工作量内的新需求）。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 耐性和综合素质。</w:t>
      </w:r>
    </w:p>
    <w:p>
      <w:pPr>
        <w:spacing w:line="360" w:lineRule="auto"/>
        <w:ind w:firstLine="480" w:firstLineChars="200"/>
        <w:rPr>
          <w:rFonts w:ascii="Times New Roman" w:hAnsi="Times New Roman"/>
          <w:sz w:val="24"/>
        </w:rPr>
      </w:pPr>
      <w:r>
        <w:rPr>
          <w:rFonts w:hint="eastAsia" w:ascii="Times New Roman" w:hAnsi="Times New Roman"/>
          <w:sz w:val="24"/>
        </w:rPr>
        <w:t>（8）系统优化服务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（9）保密内容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（10）源代码和产权要求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 5 年内，在招标方提出要求的 3 天内无条件提供本项目源代码。</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 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 分钟，一般故障处理时间不大于2 小时；特殊情况下，故障修复时间不大于24 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投标人须配合其它相关子系统承建商完成自治区医疗保障信息平台建设。</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 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beforeLines="100" w:afterLines="100" w:line="240" w:lineRule="atLeast"/>
        <w:ind w:firstLine="132"/>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sz w:val="24"/>
        </w:rPr>
      </w:pPr>
      <w:r>
        <w:rPr>
          <w:rFonts w:hint="eastAsia" w:ascii="Times New Roman" w:hAnsi="Times New Roman"/>
          <w:sz w:val="24"/>
        </w:rPr>
        <w:t>（7）本项目建设内容、需求若有变化，与本文不符的，则按照招标方与投标方友好协商修订为准。</w:t>
      </w:r>
    </w:p>
    <w:p>
      <w:pPr>
        <w:spacing w:line="360" w:lineRule="auto"/>
        <w:ind w:firstLine="420" w:firstLineChars="200"/>
      </w:pPr>
    </w:p>
    <w:p>
      <w:pPr>
        <w:spacing w:line="360" w:lineRule="auto"/>
        <w:ind w:firstLine="883" w:firstLineChars="200"/>
        <w:rPr>
          <w:b/>
          <w:bCs/>
          <w:sz w:val="44"/>
          <w:szCs w:val="44"/>
        </w:rPr>
      </w:pPr>
      <w:r>
        <w:rPr>
          <w:rFonts w:hint="eastAsia"/>
          <w:b/>
          <w:bCs/>
          <w:sz w:val="44"/>
          <w:szCs w:val="44"/>
        </w:rPr>
        <w:t>第五章  评标方法与评标标准</w:t>
      </w:r>
      <w:bookmarkEnd w:id="189"/>
      <w:bookmarkEnd w:id="190"/>
      <w:bookmarkEnd w:id="191"/>
    </w:p>
    <w:p/>
    <w:p>
      <w:pPr>
        <w:pStyle w:val="16"/>
        <w:ind w:firstLine="0"/>
        <w:rPr>
          <w:rFonts w:ascii="宋体" w:hAnsi="宋体"/>
          <w:b/>
          <w:sz w:val="36"/>
          <w:szCs w:val="36"/>
        </w:rPr>
      </w:pPr>
      <w:r>
        <w:rPr>
          <w:rFonts w:hAnsi="宋体"/>
          <w:b/>
        </w:rPr>
        <w:t>一、</w:t>
      </w:r>
      <w:r>
        <w:rPr>
          <w:rFonts w:hint="eastAsia" w:hAnsi="宋体"/>
          <w:b/>
        </w:rPr>
        <w:t>评标方法与定标原则</w:t>
      </w:r>
    </w:p>
    <w:p>
      <w:pPr>
        <w:pStyle w:val="16"/>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6"/>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6"/>
        <w:ind w:firstLine="424" w:firstLineChars="177"/>
        <w:rPr>
          <w:rFonts w:cs="Arial"/>
        </w:rPr>
      </w:pPr>
    </w:p>
    <w:p>
      <w:pPr>
        <w:pStyle w:val="16"/>
        <w:numPr>
          <w:ilvl w:val="0"/>
          <w:numId w:val="4"/>
        </w:numPr>
        <w:ind w:firstLine="0"/>
        <w:rPr>
          <w:rFonts w:hAnsi="宋体"/>
          <w:b/>
        </w:rPr>
      </w:pPr>
      <w:r>
        <w:rPr>
          <w:rFonts w:hint="eastAsia" w:hAnsi="宋体"/>
          <w:b/>
        </w:rPr>
        <w:t>评标标准</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7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bookmarkStart w:id="193" w:name="_Toc534816640"/>
            <w:bookmarkStart w:id="194" w:name="_Toc534725611"/>
            <w:bookmarkStart w:id="195" w:name="_Toc494375082"/>
            <w:r>
              <w:rPr>
                <w:rFonts w:hint="eastAsia" w:ascii="宋体" w:hAnsi="宋体"/>
              </w:rPr>
              <w:t>项目</w:t>
            </w:r>
          </w:p>
        </w:tc>
        <w:tc>
          <w:tcPr>
            <w:tcW w:w="4288" w:type="pct"/>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atLeast"/>
          <w:jc w:val="center"/>
        </w:trPr>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r>
              <w:rPr>
                <w:rFonts w:hint="eastAsia" w:ascii="宋体" w:hAnsi="宋体"/>
                <w:b/>
              </w:rPr>
              <w:t>投标</w:t>
            </w:r>
            <w:r>
              <w:rPr>
                <w:rFonts w:hint="eastAsia" w:ascii="宋体" w:hAnsi="宋体"/>
                <w:b/>
                <w:bCs/>
              </w:rPr>
              <w:t>报价</w:t>
            </w:r>
          </w:p>
          <w:p>
            <w:pPr>
              <w:jc w:val="center"/>
              <w:rPr>
                <w:rFonts w:ascii="宋体" w:hAnsi="宋体"/>
                <w:b/>
                <w:bCs/>
              </w:rPr>
            </w:pPr>
            <w:r>
              <w:rPr>
                <w:rFonts w:hint="eastAsia" w:ascii="宋体" w:hAnsi="宋体"/>
                <w:b/>
                <w:bCs/>
              </w:rPr>
              <w:t>（10分）</w:t>
            </w: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价格分统一采用低价优先法计算，即满足招标文件要求且投标价格最低的投标报价为评标基准价，其价格分为满分。其他投标人的价格分统一按照下列公式计算：</w:t>
            </w:r>
          </w:p>
          <w:p>
            <w:pPr>
              <w:rPr>
                <w:rFonts w:ascii="宋体" w:hAnsi="宋体"/>
              </w:rPr>
            </w:pPr>
            <w:r>
              <w:rPr>
                <w:rFonts w:hint="eastAsia" w:ascii="宋体" w:hAnsi="宋体"/>
              </w:rPr>
              <w:t xml:space="preserve">投标报价得分=(评标基准价／投标报价)×10分 </w:t>
            </w:r>
          </w:p>
          <w:p>
            <w:r>
              <w:rPr>
                <w:rFonts w:hint="eastAsia" w:ascii="宋体" w:hAnsi="宋体"/>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restart"/>
            <w:tcBorders>
              <w:top w:val="single" w:color="auto" w:sz="4" w:space="0"/>
              <w:left w:val="single" w:color="auto" w:sz="4" w:space="0"/>
              <w:right w:val="single" w:color="auto" w:sz="4" w:space="0"/>
            </w:tcBorders>
            <w:vAlign w:val="center"/>
          </w:tcPr>
          <w:p>
            <w:pPr>
              <w:jc w:val="center"/>
              <w:rPr>
                <w:rFonts w:ascii="宋体" w:hAnsi="宋体"/>
                <w:b/>
              </w:rPr>
            </w:pPr>
            <w:r>
              <w:rPr>
                <w:rFonts w:hint="eastAsia" w:ascii="宋体" w:hAnsi="宋体"/>
                <w:b/>
              </w:rPr>
              <w:t>履约能力</w:t>
            </w:r>
          </w:p>
          <w:p>
            <w:pPr>
              <w:jc w:val="center"/>
              <w:rPr>
                <w:rFonts w:ascii="宋体" w:hAnsi="宋体"/>
                <w:b/>
              </w:rPr>
            </w:pPr>
            <w:r>
              <w:rPr>
                <w:rFonts w:hint="eastAsia" w:ascii="宋体" w:hAnsi="宋体"/>
                <w:b/>
              </w:rPr>
              <w:t>（</w:t>
            </w:r>
            <w:r>
              <w:rPr>
                <w:rFonts w:ascii="宋体" w:hAnsi="宋体"/>
                <w:b/>
              </w:rPr>
              <w:t>2</w:t>
            </w:r>
            <w:r>
              <w:rPr>
                <w:rFonts w:hint="eastAsia" w:ascii="宋体" w:hAnsi="宋体"/>
                <w:b/>
              </w:rPr>
              <w:t>0分）</w:t>
            </w: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具有“医疗</w:t>
            </w:r>
            <w:r>
              <w:rPr>
                <w:rFonts w:ascii="宋体" w:hAnsi="宋体"/>
              </w:rPr>
              <w:t>保险</w:t>
            </w:r>
            <w:r>
              <w:rPr>
                <w:rFonts w:hint="eastAsia" w:ascii="宋体" w:hAnsi="宋体"/>
              </w:rPr>
              <w:t>基金财务综合管控系统”相关的软件著作权登记证书的得2分；</w:t>
            </w:r>
          </w:p>
          <w:p>
            <w:pPr>
              <w:rPr>
                <w:rFonts w:ascii="宋体" w:hAnsi="宋体"/>
              </w:rPr>
            </w:pPr>
            <w:r>
              <w:rPr>
                <w:rFonts w:hint="eastAsia" w:ascii="宋体" w:hAnsi="宋体"/>
              </w:rPr>
              <w:t>具有“行政事业单位内控”相关的软件著作权登记证书的得1分；</w:t>
            </w:r>
          </w:p>
          <w:p>
            <w:pPr>
              <w:rPr>
                <w:rFonts w:ascii="宋体" w:hAnsi="宋体"/>
              </w:rPr>
            </w:pPr>
            <w:r>
              <w:rPr>
                <w:rFonts w:hint="eastAsia" w:ascii="宋体" w:hAnsi="宋体"/>
              </w:rPr>
              <w:t>具有“</w:t>
            </w:r>
            <w:r>
              <w:rPr>
                <w:rFonts w:ascii="宋体" w:hAnsi="宋体"/>
              </w:rPr>
              <w:t>政府财务管理</w:t>
            </w:r>
            <w:r>
              <w:rPr>
                <w:rFonts w:hint="eastAsia" w:ascii="宋体" w:hAnsi="宋体"/>
              </w:rPr>
              <w:t>”相关的软件著作权登记证书的得2分；</w:t>
            </w:r>
          </w:p>
          <w:p>
            <w:pPr>
              <w:rPr>
                <w:rFonts w:ascii="宋体" w:hAnsi="宋体"/>
              </w:rPr>
            </w:pPr>
            <w:r>
              <w:rPr>
                <w:rFonts w:hint="eastAsia" w:ascii="宋体" w:hAnsi="宋体"/>
              </w:rPr>
              <w:t>满分5分。</w:t>
            </w:r>
          </w:p>
          <w:p>
            <w:r>
              <w:rPr>
                <w:rFonts w:hint="eastAsia"/>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rPr>
              <w:t>投标人具有CMMI5级认证证书得3分，具有CMMI4级认证证书得2分，具有CMMI3级及以下认证证书得1分。（提供证书复印件并加盖公章</w:t>
            </w:r>
            <w:r>
              <w:rPr>
                <w:rFonts w:hint="eastAsia" w:ascii="宋体" w:hAnsi="宋体" w:cs="宋体"/>
                <w:kern w:val="0"/>
              </w:rPr>
              <w:t>、原件备查</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rPr>
              <w:t>投标人获得ITSS信息技术服务运行维护标准贰级及以上等级的得2分，低于贰级（不含）的1分，没有不得分（提供证书复印件并盖章</w:t>
            </w:r>
            <w:r>
              <w:rPr>
                <w:rFonts w:hint="eastAsia" w:ascii="宋体" w:hAnsi="宋体" w:cs="宋体"/>
                <w:kern w:val="0"/>
              </w:rPr>
              <w:t>、原件备查</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rPr>
              <w:t>投标人同时具有下述任意两项（含两项）以上资质证书的得2分，只有一项的得1分，没有不得分（提供证书复印件并加盖公章、原件备查）：</w:t>
            </w:r>
          </w:p>
          <w:p>
            <w:r>
              <w:rPr>
                <w:rFonts w:hint="eastAsia"/>
              </w:rPr>
              <w:t>（1）具有中国网络安全审查技术与认证中心颁发的信息系统安全运维服务资质；</w:t>
            </w:r>
          </w:p>
          <w:p>
            <w:r>
              <w:rPr>
                <w:rFonts w:hint="eastAsia"/>
              </w:rPr>
              <w:t>（2）具有中国网络安全审查技术与认证中心颁发的信息系统安全集成服务资质；</w:t>
            </w:r>
          </w:p>
          <w:p>
            <w:r>
              <w:rPr>
                <w:rFonts w:hint="eastAsia"/>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rPr>
              <w:t>投标人自2018年1月1日以来，具有省级及以上</w:t>
            </w:r>
            <w:r>
              <w:rPr>
                <w:rFonts w:hint="eastAsia" w:ascii="宋体" w:hAnsi="宋体"/>
              </w:rPr>
              <w:t>医疗</w:t>
            </w:r>
            <w:r>
              <w:rPr>
                <w:rFonts w:ascii="宋体" w:hAnsi="宋体"/>
              </w:rPr>
              <w:t>保险基金财务</w:t>
            </w:r>
            <w:r>
              <w:rPr>
                <w:rFonts w:hint="eastAsia" w:ascii="宋体" w:hAnsi="宋体"/>
              </w:rPr>
              <w:t>管理</w:t>
            </w:r>
            <w:r>
              <w:rPr>
                <w:rFonts w:hint="eastAsia"/>
              </w:rPr>
              <w:t>类似案例，有一个有效业绩得2分，满分8分。（提供中标通知书及签订的合同复印件并加盖公章）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12" w:type="pct"/>
            <w:vMerge w:val="restart"/>
            <w:tcBorders>
              <w:top w:val="single" w:color="auto" w:sz="4" w:space="0"/>
              <w:left w:val="single" w:color="auto" w:sz="4" w:space="0"/>
              <w:right w:val="single" w:color="auto" w:sz="4" w:space="0"/>
            </w:tcBorders>
            <w:vAlign w:val="center"/>
          </w:tcPr>
          <w:p>
            <w:pPr>
              <w:jc w:val="center"/>
              <w:rPr>
                <w:rFonts w:ascii="宋体" w:hAnsi="宋体"/>
                <w:b/>
                <w:bCs/>
              </w:rPr>
            </w:pPr>
            <w:r>
              <w:rPr>
                <w:rFonts w:hint="eastAsia" w:ascii="宋体" w:hAnsi="宋体"/>
                <w:b/>
                <w:bCs/>
              </w:rPr>
              <w:t>技术部分</w:t>
            </w:r>
          </w:p>
          <w:p>
            <w:pPr>
              <w:rPr>
                <w:rFonts w:ascii="宋体" w:hAnsi="宋体"/>
                <w:b/>
                <w:bCs/>
              </w:rPr>
            </w:pPr>
            <w:r>
              <w:rPr>
                <w:rFonts w:hint="eastAsia" w:ascii="宋体" w:hAnsi="宋体"/>
                <w:b/>
                <w:bCs/>
              </w:rPr>
              <w:t>（</w:t>
            </w:r>
            <w:r>
              <w:rPr>
                <w:rFonts w:ascii="宋体" w:hAnsi="宋体"/>
                <w:b/>
                <w:bCs/>
              </w:rPr>
              <w:t>60</w:t>
            </w:r>
            <w:r>
              <w:rPr>
                <w:rFonts w:hint="eastAsia" w:ascii="宋体" w:hAnsi="宋体"/>
                <w:b/>
                <w:bCs/>
              </w:rPr>
              <w:t>分）</w:t>
            </w:r>
          </w:p>
          <w:p>
            <w:pPr>
              <w:rPr>
                <w:rFonts w:ascii="宋体" w:hAnsi="宋体"/>
                <w:b/>
                <w:bCs/>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b/>
              </w:rPr>
              <w:t>服务内容响应：</w:t>
            </w:r>
            <w:r>
              <w:rPr>
                <w:rFonts w:hint="eastAsia" w:ascii="宋体" w:hAnsi="宋体" w:cs="宋体"/>
              </w:rPr>
              <w:t>对招标文件提出的功能需求、服务内容等逐条响应，完全响应的得5分；每有一项负偏离扣1分，扣完为止。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rPr>
                <w:b/>
              </w:rPr>
            </w:pPr>
            <w:r>
              <w:rPr>
                <w:rFonts w:hint="eastAsia"/>
                <w:b/>
              </w:rPr>
              <w:t>项目理解及需求分析：</w:t>
            </w:r>
          </w:p>
          <w:p>
            <w:r>
              <w:rPr>
                <w:rFonts w:hint="eastAsia"/>
              </w:rPr>
              <w:t>（1）对国家和新疆维吾尔自治区有关政务服务的相关政策、医疗保障业务以及项目建设重点难点有深刻的理解和分析，好的得3分，较好的得2分，一般的得</w:t>
            </w:r>
            <w:r>
              <w:t>1</w:t>
            </w:r>
            <w:r>
              <w:rPr>
                <w:rFonts w:hint="eastAsia"/>
              </w:rPr>
              <w:t>分，差的或不提供的不得分。</w:t>
            </w:r>
          </w:p>
          <w:p>
            <w:pPr>
              <w:rPr>
                <w:rFonts w:ascii="宋体" w:hAnsi="宋体"/>
              </w:rPr>
            </w:pPr>
            <w:r>
              <w:rPr>
                <w:rFonts w:hint="eastAsia"/>
              </w:rPr>
              <w:t>（2）对本项目</w:t>
            </w:r>
            <w:r>
              <w:rPr>
                <w:rFonts w:hint="eastAsia" w:ascii="宋体" w:hAnsi="宋体" w:cs="宋体"/>
              </w:rPr>
              <w:t>医疗保险基金业</w:t>
            </w:r>
            <w:r>
              <w:rPr>
                <w:rFonts w:ascii="宋体" w:hAnsi="宋体" w:cs="宋体"/>
              </w:rPr>
              <w:t>务</w:t>
            </w:r>
            <w:r>
              <w:rPr>
                <w:rFonts w:hint="eastAsia" w:ascii="宋体" w:hAnsi="宋体" w:cs="宋体"/>
              </w:rPr>
              <w:t>财务一</w:t>
            </w:r>
            <w:r>
              <w:rPr>
                <w:rFonts w:ascii="宋体" w:hAnsi="宋体" w:cs="宋体"/>
              </w:rPr>
              <w:t>体化建设</w:t>
            </w:r>
            <w:r>
              <w:rPr>
                <w:rFonts w:hint="eastAsia" w:ascii="宋体" w:hAnsi="宋体" w:cs="宋体"/>
              </w:rPr>
              <w:t>需求有充分的理解和分析，并对可能出现</w:t>
            </w:r>
            <w:r>
              <w:rPr>
                <w:rFonts w:ascii="宋体" w:hAnsi="宋体" w:cs="宋体"/>
              </w:rPr>
              <w:t>的</w:t>
            </w:r>
            <w:r>
              <w:rPr>
                <w:rFonts w:hint="eastAsia" w:ascii="宋体" w:hAnsi="宋体" w:cs="宋体"/>
              </w:rPr>
              <w:t>疑点难点问题制定</w:t>
            </w:r>
            <w:r>
              <w:rPr>
                <w:rFonts w:ascii="宋体" w:hAnsi="宋体" w:cs="宋体"/>
              </w:rPr>
              <w:t>相应的措施</w:t>
            </w:r>
            <w:r>
              <w:t>和解决办法</w:t>
            </w:r>
            <w:r>
              <w:rPr>
                <w:rFonts w:hint="eastAsia"/>
              </w:rPr>
              <w:t>, 好的得3分，较好的得2分，一般的得</w:t>
            </w:r>
            <w:r>
              <w:t>1</w:t>
            </w:r>
            <w:r>
              <w:rPr>
                <w:rFonts w:hint="eastAsia"/>
              </w:rPr>
              <w:t>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b/>
              </w:rPr>
              <w:t>应用软件架构设计：</w:t>
            </w:r>
            <w:r>
              <w:rPr>
                <w:rFonts w:hint="eastAsia"/>
              </w:rPr>
              <w:t>采用先进主流的技术路线，对技术架构的实现有具体说明并思路清晰，应用模式合理，好的得3分，较好的得2分，一般的得</w:t>
            </w:r>
            <w:r>
              <w:t>1</w:t>
            </w:r>
            <w:r>
              <w:rPr>
                <w:rFonts w:hint="eastAsia"/>
              </w:rPr>
              <w:t>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b/>
              </w:rPr>
              <w:t>应用软件功能设计：</w:t>
            </w:r>
            <w:r>
              <w:rPr>
                <w:rFonts w:hint="eastAsia"/>
              </w:rPr>
              <w:t>结合招标文件业务需求对系统业务功能点进行阐述，功能模块设计合理、完整，并提供相关系统功能的流程图和系统截图，好的得3分，较好的得2分，一般的得</w:t>
            </w:r>
            <w:r>
              <w:t>1</w:t>
            </w:r>
            <w:r>
              <w:rPr>
                <w:rFonts w:hint="eastAsia"/>
              </w:rPr>
              <w:t>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b/>
              </w:rPr>
              <w:t>系统安全设计：</w:t>
            </w:r>
            <w:r>
              <w:rPr>
                <w:rFonts w:hint="eastAsia" w:ascii="宋体" w:hAnsi="宋体" w:cs="宋体"/>
                <w:kern w:val="0"/>
              </w:rPr>
              <w:t>投标人提供的方案中，应详细阐述了系统安全性设计方案和安全措施，包括：物理安全、网络安全、操作系统安全、应用安全方面。</w:t>
            </w:r>
            <w:r>
              <w:rPr>
                <w:rFonts w:hint="eastAsia"/>
              </w:rPr>
              <w:t>好的得3分，较好的得2分，一般的得</w:t>
            </w:r>
            <w:r>
              <w:t>1</w:t>
            </w:r>
            <w:r>
              <w:rPr>
                <w:rFonts w:hint="eastAsia"/>
              </w:rPr>
              <w:t>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b/>
              </w:rPr>
              <w:t>系统</w:t>
            </w:r>
            <w:r>
              <w:rPr>
                <w:b/>
              </w:rPr>
              <w:t>性能保障</w:t>
            </w:r>
            <w:r>
              <w:rPr>
                <w:rFonts w:hint="eastAsia"/>
                <w:b/>
              </w:rPr>
              <w:t>：</w:t>
            </w:r>
            <w:r>
              <w:rPr>
                <w:rFonts w:hint="eastAsia" w:ascii="宋体" w:hAnsi="宋体" w:cs="宋体"/>
              </w:rPr>
              <w:t>投</w:t>
            </w:r>
            <w:r>
              <w:rPr>
                <w:rFonts w:ascii="宋体" w:hAnsi="宋体" w:cs="宋体"/>
              </w:rPr>
              <w:t>标人提供</w:t>
            </w:r>
            <w:r>
              <w:rPr>
                <w:rFonts w:hint="eastAsia" w:ascii="宋体" w:hAnsi="宋体" w:cs="宋体"/>
              </w:rPr>
              <w:t>方案具有良好的适应性和扩展性，能够适应如与内外</w:t>
            </w:r>
            <w:r>
              <w:rPr>
                <w:rFonts w:ascii="宋体" w:hAnsi="宋体" w:cs="宋体"/>
              </w:rPr>
              <w:t>部</w:t>
            </w:r>
            <w:r>
              <w:rPr>
                <w:rFonts w:hint="eastAsia" w:ascii="宋体" w:hAnsi="宋体" w:cs="宋体"/>
              </w:rPr>
              <w:t>系统的对</w:t>
            </w:r>
            <w:r>
              <w:rPr>
                <w:rFonts w:ascii="宋体" w:hAnsi="宋体" w:cs="宋体"/>
              </w:rPr>
              <w:t>接</w:t>
            </w:r>
            <w:r>
              <w:rPr>
                <w:rFonts w:hint="eastAsia" w:ascii="宋体" w:hAnsi="宋体" w:cs="宋体"/>
              </w:rPr>
              <w:t>。对系统衔接理解完整并能够提供完整方案。</w:t>
            </w:r>
            <w:r>
              <w:rPr>
                <w:rFonts w:hint="eastAsia"/>
              </w:rPr>
              <w:t>好的得3分，较好的得2分，一般的得</w:t>
            </w:r>
            <w:r>
              <w:t>1</w:t>
            </w:r>
            <w:r>
              <w:rPr>
                <w:rFonts w:hint="eastAsia"/>
              </w:rPr>
              <w:t>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b/>
              </w:rPr>
              <w:t>项目实施与项目管理</w:t>
            </w:r>
            <w:r>
              <w:rPr>
                <w:rFonts w:hint="eastAsia"/>
                <w:b/>
                <w:u w:val="single"/>
              </w:rPr>
              <w:t>：</w:t>
            </w:r>
            <w:r>
              <w:rPr>
                <w:rFonts w:hint="eastAsia"/>
              </w:rPr>
              <w:t>结合本项目特点制定项目实施计划，提供项目管理方案，提供风险控制方案，并提出本项目实施的主要风险以及降低风险的策略与措施，提供测试与验收方案，对应用系统功能及性能的测试进行描述，好的得3分，较好的得2分，一般的得</w:t>
            </w:r>
            <w:r>
              <w:t>1</w:t>
            </w:r>
            <w:r>
              <w:rPr>
                <w:rFonts w:hint="eastAsia"/>
              </w:rPr>
              <w:t>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b/>
              </w:rPr>
              <w:t>数据迁移：</w:t>
            </w:r>
            <w:r>
              <w:rPr>
                <w:rFonts w:hint="eastAsia"/>
              </w:rPr>
              <w:t>投标人必须确保新旧系统能够无缝切换，需</w:t>
            </w:r>
            <w:r>
              <w:t>要提</w:t>
            </w:r>
            <w:r>
              <w:rPr>
                <w:rFonts w:hint="eastAsia"/>
              </w:rPr>
              <w:t>供历年历史数据迁移可</w:t>
            </w:r>
            <w:r>
              <w:t>行</w:t>
            </w:r>
            <w:r>
              <w:rPr>
                <w:rFonts w:hint="eastAsia"/>
              </w:rPr>
              <w:t>性</w:t>
            </w:r>
            <w:r>
              <w:t>方案</w:t>
            </w:r>
            <w:r>
              <w:rPr>
                <w:rFonts w:hint="eastAsia"/>
              </w:rPr>
              <w:t>。方案完整、详尽并提供其充分了解原有系统的证明文件。好的得3分，较好的得2分，一般的得</w:t>
            </w:r>
            <w:r>
              <w:t>1</w:t>
            </w:r>
            <w:r>
              <w:rPr>
                <w:rFonts w:hint="eastAsia"/>
              </w:rPr>
              <w:t>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rPr>
              <w:t>项目团队</w:t>
            </w:r>
            <w:r>
              <w:t>配置：</w:t>
            </w:r>
          </w:p>
          <w:p>
            <w:r>
              <w:rPr>
                <w:rFonts w:hint="eastAsia"/>
              </w:rPr>
              <w:t xml:space="preserve">1. </w:t>
            </w:r>
            <w:r>
              <w:rPr>
                <w:rFonts w:hint="eastAsia"/>
                <w:b/>
              </w:rPr>
              <w:t>项目经理资历：</w:t>
            </w:r>
            <w:r>
              <w:rPr>
                <w:rFonts w:hint="eastAsia"/>
              </w:rPr>
              <w:t>项目经理具有PMP项目管理资格证书或具有中国电子信息行业联合会颁发的高级项目经理资格证书的得3分；</w:t>
            </w:r>
          </w:p>
          <w:p>
            <w:pPr>
              <w:rPr>
                <w:rFonts w:ascii="宋体" w:hAnsi="宋体" w:cs="宋体"/>
              </w:rPr>
            </w:pPr>
            <w:r>
              <w:rPr>
                <w:rFonts w:hint="eastAsia"/>
              </w:rPr>
              <w:t>2.</w:t>
            </w:r>
            <w:r>
              <w:rPr>
                <w:rFonts w:hint="eastAsia"/>
                <w:b/>
              </w:rPr>
              <w:t>其他专业人员：</w:t>
            </w:r>
            <w:r>
              <w:rPr>
                <w:rFonts w:hint="eastAsia"/>
              </w:rPr>
              <w:t>团队中具有系统分析师（高级）或系统架构设计师（高级），每提供一个得1分，满分3分；</w:t>
            </w:r>
          </w:p>
          <w:p>
            <w:r>
              <w:rPr>
                <w:rFonts w:hint="eastAsia"/>
              </w:rPr>
              <w:t>3.</w:t>
            </w:r>
            <w:r>
              <w:rPr>
                <w:rFonts w:hint="eastAsia" w:ascii="宋体" w:hAnsi="宋体" w:cs="宋体"/>
              </w:rPr>
              <w:t>根据招标需求，对拟派服务团队整体人员资历、职称、组成架构等进行综合评审，好的得5分，较好的3分，一般的得1分，差的或不提供的不得分。</w:t>
            </w:r>
            <w:r>
              <w:rPr>
                <w:rFonts w:hint="eastAsia" w:ascii="宋体" w:hAnsi="宋体" w:cs="宋体"/>
              </w:rPr>
              <w:br w:type="textWrapping"/>
            </w:r>
            <w:r>
              <w:rPr>
                <w:rFonts w:hint="eastAsia"/>
              </w:rPr>
              <w:t>注</w:t>
            </w:r>
            <w:r>
              <w:t>：</w:t>
            </w:r>
            <w:r>
              <w:rPr>
                <w:rFonts w:hint="eastAsia"/>
              </w:rPr>
              <w:t>团队中</w:t>
            </w:r>
            <w:r>
              <w:t>所有人员提供相关个人简历、相关</w:t>
            </w:r>
            <w:r>
              <w:rPr>
                <w:rFonts w:hint="eastAsia"/>
              </w:rPr>
              <w:t>资格</w:t>
            </w:r>
            <w:r>
              <w:t>证书复印件、</w:t>
            </w:r>
            <w:r>
              <w:rPr>
                <w:rFonts w:hint="eastAsia"/>
              </w:rPr>
              <w:t>社保机构出具的2019年6月至今投标人为其缴纳的连续6个月的社保证明，</w:t>
            </w:r>
            <w:r>
              <w:t>同一人员</w:t>
            </w:r>
            <w:r>
              <w:rPr>
                <w:rFonts w:hint="eastAsia"/>
              </w:rPr>
              <w:t>拥有</w:t>
            </w:r>
            <w:r>
              <w:t>多个证件的</w:t>
            </w:r>
            <w:r>
              <w:rPr>
                <w:rFonts w:hint="eastAsia"/>
              </w:rPr>
              <w:t>不重复</w:t>
            </w:r>
            <w: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rPr>
                <w:b/>
              </w:rPr>
            </w:pPr>
            <w:r>
              <w:rPr>
                <w:rFonts w:hint="eastAsia"/>
                <w:b/>
              </w:rPr>
              <w:t>现场演示：由投标人自带演示系统及相关设备，对本项目主要功能进行现场演示，演示功能需满足以下所列内容。如果不参加现场演示，该项为零分。使用demo、静态页面、PPT、录像或截图的最高得5分。满分20分。各投标人的演示时间控制在20分钟之内。</w:t>
            </w:r>
          </w:p>
          <w:p>
            <w:pPr>
              <w:rPr>
                <w:rFonts w:ascii="宋体" w:hAnsi="宋体" w:cs="宋体"/>
              </w:rPr>
            </w:pPr>
            <w:r>
              <w:rPr>
                <w:rFonts w:hint="eastAsia" w:ascii="宋体" w:hAnsi="宋体" w:cs="宋体"/>
              </w:rPr>
              <w:t>1、 能够演示医保基金财务工作平台功能，包括待办工作平台、通知公告平台、政策法规平台、医保基金财务各类</w:t>
            </w:r>
            <w:r>
              <w:rPr>
                <w:rFonts w:ascii="宋体" w:hAnsi="宋体" w:cs="宋体"/>
              </w:rPr>
              <w:t>分析</w:t>
            </w:r>
            <w:r>
              <w:rPr>
                <w:rFonts w:hint="eastAsia" w:ascii="宋体" w:hAnsi="宋体" w:cs="宋体"/>
              </w:rPr>
              <w:t>展示等。要求支持菜单级的功能集成。演示内容齐全且演示界面的友好，操作简便、演示过程衔接流畅等方面好</w:t>
            </w:r>
            <w:r>
              <w:rPr>
                <w:rFonts w:ascii="宋体" w:hAnsi="宋体" w:cs="宋体"/>
              </w:rPr>
              <w:t>的得3</w:t>
            </w:r>
            <w:r>
              <w:rPr>
                <w:rFonts w:hint="eastAsia" w:ascii="宋体" w:hAnsi="宋体" w:cs="宋体"/>
              </w:rPr>
              <w:t>分</w:t>
            </w:r>
            <w:r>
              <w:rPr>
                <w:rFonts w:ascii="宋体" w:hAnsi="宋体" w:cs="宋体"/>
              </w:rPr>
              <w:t>，</w:t>
            </w:r>
            <w:r>
              <w:rPr>
                <w:rFonts w:hint="eastAsia" w:ascii="宋体" w:hAnsi="宋体" w:cs="宋体"/>
              </w:rPr>
              <w:t>一般</w:t>
            </w:r>
            <w:r>
              <w:rPr>
                <w:rFonts w:ascii="宋体" w:hAnsi="宋体" w:cs="宋体"/>
              </w:rPr>
              <w:t>的得2</w:t>
            </w:r>
            <w:r>
              <w:rPr>
                <w:rFonts w:hint="eastAsia" w:ascii="宋体" w:hAnsi="宋体" w:cs="宋体"/>
              </w:rPr>
              <w:t>分</w:t>
            </w:r>
            <w:r>
              <w:rPr>
                <w:rFonts w:ascii="宋体" w:hAnsi="宋体" w:cs="宋体"/>
              </w:rPr>
              <w:t>，差的得</w:t>
            </w:r>
            <w:r>
              <w:rPr>
                <w:rFonts w:hint="eastAsia" w:ascii="宋体" w:hAnsi="宋体" w:cs="宋体"/>
              </w:rPr>
              <w:t>1分</w:t>
            </w:r>
            <w:r>
              <w:rPr>
                <w:rFonts w:ascii="宋体" w:hAnsi="宋体" w:cs="宋体"/>
              </w:rPr>
              <w:t>，不演示的不得</w:t>
            </w:r>
            <w:r>
              <w:rPr>
                <w:rFonts w:hint="eastAsia" w:ascii="宋体" w:hAnsi="宋体" w:cs="宋体"/>
              </w:rPr>
              <w:t>分；</w:t>
            </w:r>
          </w:p>
          <w:p>
            <w:pPr>
              <w:rPr>
                <w:rFonts w:ascii="宋体" w:hAnsi="宋体" w:cs="宋体"/>
              </w:rPr>
            </w:pPr>
            <w:r>
              <w:rPr>
                <w:rFonts w:hint="eastAsia" w:ascii="宋体" w:hAnsi="宋体" w:cs="宋体"/>
              </w:rPr>
              <w:t>2、 能够演示医保基金财务与其它协</w:t>
            </w:r>
            <w:r>
              <w:rPr>
                <w:rFonts w:ascii="宋体" w:hAnsi="宋体" w:cs="宋体"/>
              </w:rPr>
              <w:t>同部门</w:t>
            </w:r>
            <w:r>
              <w:rPr>
                <w:rFonts w:hint="eastAsia" w:ascii="宋体" w:hAnsi="宋体" w:cs="宋体"/>
              </w:rPr>
              <w:t>间</w:t>
            </w:r>
            <w:r>
              <w:rPr>
                <w:rFonts w:ascii="宋体" w:hAnsi="宋体" w:cs="宋体"/>
              </w:rPr>
              <w:t>系统应用集</w:t>
            </w:r>
            <w:r>
              <w:rPr>
                <w:rFonts w:hint="eastAsia" w:ascii="宋体" w:hAnsi="宋体" w:cs="宋体"/>
              </w:rPr>
              <w:t>成，要求支持多种数据接入方式；演示收</w:t>
            </w:r>
            <w:r>
              <w:rPr>
                <w:rFonts w:ascii="宋体" w:hAnsi="宋体" w:cs="宋体"/>
              </w:rPr>
              <w:t>入与支出</w:t>
            </w:r>
            <w:r>
              <w:rPr>
                <w:rFonts w:hint="eastAsia" w:ascii="宋体" w:hAnsi="宋体" w:cs="宋体"/>
              </w:rPr>
              <w:t>业</w:t>
            </w:r>
            <w:r>
              <w:rPr>
                <w:rFonts w:ascii="宋体" w:hAnsi="宋体" w:cs="宋体"/>
              </w:rPr>
              <w:t>务</w:t>
            </w:r>
            <w:r>
              <w:rPr>
                <w:rFonts w:hint="eastAsia" w:ascii="宋体" w:hAnsi="宋体" w:cs="宋体"/>
              </w:rPr>
              <w:t>从其</w:t>
            </w:r>
            <w:r>
              <w:rPr>
                <w:rFonts w:ascii="宋体" w:hAnsi="宋体" w:cs="宋体"/>
              </w:rPr>
              <w:t>它系</w:t>
            </w:r>
            <w:r>
              <w:rPr>
                <w:rFonts w:hint="eastAsia" w:ascii="宋体" w:hAnsi="宋体" w:cs="宋体"/>
              </w:rPr>
              <w:t>统接入数据</w:t>
            </w:r>
            <w:r>
              <w:rPr>
                <w:rFonts w:ascii="宋体" w:hAnsi="宋体" w:cs="宋体"/>
              </w:rPr>
              <w:t>并在前端</w:t>
            </w:r>
            <w:r>
              <w:rPr>
                <w:rFonts w:hint="eastAsia" w:ascii="宋体" w:hAnsi="宋体" w:cs="宋体"/>
              </w:rPr>
              <w:t>页</w:t>
            </w:r>
            <w:r>
              <w:rPr>
                <w:rFonts w:ascii="宋体" w:hAnsi="宋体" w:cs="宋体"/>
              </w:rPr>
              <w:t>面直接展</w:t>
            </w:r>
            <w:r>
              <w:rPr>
                <w:rFonts w:hint="eastAsia" w:ascii="宋体" w:hAnsi="宋体" w:cs="宋体"/>
              </w:rPr>
              <w:t>示。演示内容齐全且演示界面的友好，操作简便、演示过程衔接流畅等方面好</w:t>
            </w:r>
            <w:r>
              <w:rPr>
                <w:rFonts w:ascii="宋体" w:hAnsi="宋体" w:cs="宋体"/>
              </w:rPr>
              <w:t>的得3</w:t>
            </w:r>
            <w:r>
              <w:rPr>
                <w:rFonts w:hint="eastAsia" w:ascii="宋体" w:hAnsi="宋体" w:cs="宋体"/>
              </w:rPr>
              <w:t>分</w:t>
            </w:r>
            <w:r>
              <w:rPr>
                <w:rFonts w:ascii="宋体" w:hAnsi="宋体" w:cs="宋体"/>
              </w:rPr>
              <w:t>，</w:t>
            </w:r>
            <w:r>
              <w:rPr>
                <w:rFonts w:hint="eastAsia" w:ascii="宋体" w:hAnsi="宋体" w:cs="宋体"/>
              </w:rPr>
              <w:t>一般</w:t>
            </w:r>
            <w:r>
              <w:rPr>
                <w:rFonts w:ascii="宋体" w:hAnsi="宋体" w:cs="宋体"/>
              </w:rPr>
              <w:t>的得2</w:t>
            </w:r>
            <w:r>
              <w:rPr>
                <w:rFonts w:hint="eastAsia" w:ascii="宋体" w:hAnsi="宋体" w:cs="宋体"/>
              </w:rPr>
              <w:t>分</w:t>
            </w:r>
            <w:r>
              <w:rPr>
                <w:rFonts w:ascii="宋体" w:hAnsi="宋体" w:cs="宋体"/>
              </w:rPr>
              <w:t>，差的得</w:t>
            </w:r>
            <w:r>
              <w:rPr>
                <w:rFonts w:hint="eastAsia" w:ascii="宋体" w:hAnsi="宋体" w:cs="宋体"/>
              </w:rPr>
              <w:t>1分</w:t>
            </w:r>
            <w:r>
              <w:rPr>
                <w:rFonts w:ascii="宋体" w:hAnsi="宋体" w:cs="宋体"/>
              </w:rPr>
              <w:t>，不演示的不得</w:t>
            </w:r>
            <w:r>
              <w:rPr>
                <w:rFonts w:hint="eastAsia" w:ascii="宋体" w:hAnsi="宋体" w:cs="宋体"/>
              </w:rPr>
              <w:t>分；。</w:t>
            </w:r>
          </w:p>
          <w:p>
            <w:pPr>
              <w:rPr>
                <w:rFonts w:ascii="宋体" w:hAnsi="宋体" w:cs="宋体"/>
              </w:rPr>
            </w:pPr>
            <w:r>
              <w:rPr>
                <w:rFonts w:hint="eastAsia" w:ascii="宋体" w:hAnsi="宋体" w:cs="宋体"/>
              </w:rPr>
              <w:t>3、演示基金支付全程</w:t>
            </w:r>
            <w:r>
              <w:rPr>
                <w:rFonts w:ascii="宋体" w:hAnsi="宋体" w:cs="宋体"/>
              </w:rPr>
              <w:t>电子化应用场</w:t>
            </w:r>
            <w:r>
              <w:rPr>
                <w:rFonts w:hint="eastAsia" w:ascii="宋体" w:hAnsi="宋体" w:cs="宋体"/>
              </w:rPr>
              <w:t>景</w:t>
            </w:r>
            <w:r>
              <w:rPr>
                <w:rFonts w:ascii="宋体" w:hAnsi="宋体" w:cs="宋体"/>
              </w:rPr>
              <w:t>，</w:t>
            </w:r>
            <w:r>
              <w:rPr>
                <w:rFonts w:hint="eastAsia" w:ascii="宋体" w:hAnsi="宋体" w:cs="宋体"/>
              </w:rPr>
              <w:t>从接收支</w:t>
            </w:r>
            <w:r>
              <w:rPr>
                <w:rFonts w:ascii="宋体" w:hAnsi="宋体" w:cs="宋体"/>
              </w:rPr>
              <w:t>付</w:t>
            </w:r>
            <w:r>
              <w:rPr>
                <w:rFonts w:hint="eastAsia" w:ascii="宋体" w:hAnsi="宋体" w:cs="宋体"/>
              </w:rPr>
              <w:t>计划数据到财务审批到网银支付全过程</w:t>
            </w:r>
            <w:r>
              <w:rPr>
                <w:rFonts w:ascii="宋体" w:hAnsi="宋体" w:cs="宋体"/>
              </w:rPr>
              <w:t>操作</w:t>
            </w:r>
            <w:r>
              <w:rPr>
                <w:rFonts w:hint="eastAsia" w:ascii="宋体" w:hAnsi="宋体" w:cs="宋体"/>
              </w:rPr>
              <w:t>；演示内容齐全且演示界面的友好，操作简便、演示过程衔接流畅等方面好</w:t>
            </w:r>
            <w:r>
              <w:rPr>
                <w:rFonts w:ascii="宋体" w:hAnsi="宋体" w:cs="宋体"/>
              </w:rPr>
              <w:t>的得3</w:t>
            </w:r>
            <w:r>
              <w:rPr>
                <w:rFonts w:hint="eastAsia" w:ascii="宋体" w:hAnsi="宋体" w:cs="宋体"/>
              </w:rPr>
              <w:t>分</w:t>
            </w:r>
            <w:r>
              <w:rPr>
                <w:rFonts w:ascii="宋体" w:hAnsi="宋体" w:cs="宋体"/>
              </w:rPr>
              <w:t>，</w:t>
            </w:r>
            <w:r>
              <w:rPr>
                <w:rFonts w:hint="eastAsia" w:ascii="宋体" w:hAnsi="宋体" w:cs="宋体"/>
              </w:rPr>
              <w:t>一般</w:t>
            </w:r>
            <w:r>
              <w:rPr>
                <w:rFonts w:ascii="宋体" w:hAnsi="宋体" w:cs="宋体"/>
              </w:rPr>
              <w:t>的得2</w:t>
            </w:r>
            <w:r>
              <w:rPr>
                <w:rFonts w:hint="eastAsia" w:ascii="宋体" w:hAnsi="宋体" w:cs="宋体"/>
              </w:rPr>
              <w:t>分</w:t>
            </w:r>
            <w:r>
              <w:rPr>
                <w:rFonts w:ascii="宋体" w:hAnsi="宋体" w:cs="宋体"/>
              </w:rPr>
              <w:t>，差的得</w:t>
            </w:r>
            <w:r>
              <w:rPr>
                <w:rFonts w:hint="eastAsia" w:ascii="宋体" w:hAnsi="宋体" w:cs="宋体"/>
              </w:rPr>
              <w:t>1分</w:t>
            </w:r>
            <w:r>
              <w:rPr>
                <w:rFonts w:ascii="宋体" w:hAnsi="宋体" w:cs="宋体"/>
              </w:rPr>
              <w:t>，不演示的不得</w:t>
            </w:r>
            <w:r>
              <w:rPr>
                <w:rFonts w:hint="eastAsia" w:ascii="宋体" w:hAnsi="宋体" w:cs="宋体"/>
              </w:rPr>
              <w:t>分；</w:t>
            </w:r>
          </w:p>
          <w:p>
            <w:pPr>
              <w:rPr>
                <w:rFonts w:ascii="宋体" w:hAnsi="宋体" w:cs="宋体"/>
              </w:rPr>
            </w:pPr>
            <w:r>
              <w:rPr>
                <w:rFonts w:hint="eastAsia" w:ascii="宋体" w:hAnsi="宋体" w:cs="宋体"/>
              </w:rPr>
              <w:t>4、演示与财政对接后请款、支付业</w:t>
            </w:r>
            <w:r>
              <w:rPr>
                <w:rFonts w:ascii="宋体" w:hAnsi="宋体" w:cs="宋体"/>
              </w:rPr>
              <w:t>务电子化管理应用场</w:t>
            </w:r>
            <w:r>
              <w:rPr>
                <w:rFonts w:hint="eastAsia" w:ascii="宋体" w:hAnsi="宋体" w:cs="宋体"/>
              </w:rPr>
              <w:t>景；演示内容齐全且演示界面的友好，操作简便、演示过程衔接流畅等方面好</w:t>
            </w:r>
            <w:r>
              <w:rPr>
                <w:rFonts w:ascii="宋体" w:hAnsi="宋体" w:cs="宋体"/>
              </w:rPr>
              <w:t>的得3</w:t>
            </w:r>
            <w:r>
              <w:rPr>
                <w:rFonts w:hint="eastAsia" w:ascii="宋体" w:hAnsi="宋体" w:cs="宋体"/>
              </w:rPr>
              <w:t>分</w:t>
            </w:r>
            <w:r>
              <w:rPr>
                <w:rFonts w:ascii="宋体" w:hAnsi="宋体" w:cs="宋体"/>
              </w:rPr>
              <w:t>，</w:t>
            </w:r>
            <w:r>
              <w:rPr>
                <w:rFonts w:hint="eastAsia" w:ascii="宋体" w:hAnsi="宋体" w:cs="宋体"/>
              </w:rPr>
              <w:t>一般</w:t>
            </w:r>
            <w:r>
              <w:rPr>
                <w:rFonts w:ascii="宋体" w:hAnsi="宋体" w:cs="宋体"/>
              </w:rPr>
              <w:t>的得2</w:t>
            </w:r>
            <w:r>
              <w:rPr>
                <w:rFonts w:hint="eastAsia" w:ascii="宋体" w:hAnsi="宋体" w:cs="宋体"/>
              </w:rPr>
              <w:t>分</w:t>
            </w:r>
            <w:r>
              <w:rPr>
                <w:rFonts w:ascii="宋体" w:hAnsi="宋体" w:cs="宋体"/>
              </w:rPr>
              <w:t>，差的得</w:t>
            </w:r>
            <w:r>
              <w:rPr>
                <w:rFonts w:hint="eastAsia" w:ascii="宋体" w:hAnsi="宋体" w:cs="宋体"/>
              </w:rPr>
              <w:t>1分</w:t>
            </w:r>
            <w:r>
              <w:rPr>
                <w:rFonts w:ascii="宋体" w:hAnsi="宋体" w:cs="宋体"/>
              </w:rPr>
              <w:t>，不演示的不得</w:t>
            </w:r>
            <w:r>
              <w:rPr>
                <w:rFonts w:hint="eastAsia" w:ascii="宋体" w:hAnsi="宋体" w:cs="宋体"/>
              </w:rPr>
              <w:t>分；</w:t>
            </w:r>
          </w:p>
          <w:p>
            <w:pPr>
              <w:rPr>
                <w:rFonts w:ascii="宋体" w:hAnsi="宋体" w:cs="宋体"/>
              </w:rPr>
            </w:pPr>
            <w:r>
              <w:rPr>
                <w:rFonts w:hint="eastAsia" w:ascii="宋体" w:hAnsi="宋体" w:cs="宋体"/>
              </w:rPr>
              <w:t>5、 能够演示医保基金管理过程各业务审批流程的可视化定制；支持经办过程和结果的反馈；演示内容齐全且演示界面的友好，操作简便、演示过程衔接流畅等方面好</w:t>
            </w:r>
            <w:r>
              <w:rPr>
                <w:rFonts w:ascii="宋体" w:hAnsi="宋体" w:cs="宋体"/>
              </w:rPr>
              <w:t>的得3</w:t>
            </w:r>
            <w:r>
              <w:rPr>
                <w:rFonts w:hint="eastAsia" w:ascii="宋体" w:hAnsi="宋体" w:cs="宋体"/>
              </w:rPr>
              <w:t>分</w:t>
            </w:r>
            <w:r>
              <w:rPr>
                <w:rFonts w:ascii="宋体" w:hAnsi="宋体" w:cs="宋体"/>
              </w:rPr>
              <w:t>，</w:t>
            </w:r>
            <w:r>
              <w:rPr>
                <w:rFonts w:hint="eastAsia" w:ascii="宋体" w:hAnsi="宋体" w:cs="宋体"/>
              </w:rPr>
              <w:t>一般</w:t>
            </w:r>
            <w:r>
              <w:rPr>
                <w:rFonts w:ascii="宋体" w:hAnsi="宋体" w:cs="宋体"/>
              </w:rPr>
              <w:t>的得2</w:t>
            </w:r>
            <w:r>
              <w:rPr>
                <w:rFonts w:hint="eastAsia" w:ascii="宋体" w:hAnsi="宋体" w:cs="宋体"/>
              </w:rPr>
              <w:t>分</w:t>
            </w:r>
            <w:r>
              <w:rPr>
                <w:rFonts w:ascii="宋体" w:hAnsi="宋体" w:cs="宋体"/>
              </w:rPr>
              <w:t>，差的得</w:t>
            </w:r>
            <w:r>
              <w:rPr>
                <w:rFonts w:hint="eastAsia" w:ascii="宋体" w:hAnsi="宋体" w:cs="宋体"/>
              </w:rPr>
              <w:t>1分</w:t>
            </w:r>
            <w:r>
              <w:rPr>
                <w:rFonts w:ascii="宋体" w:hAnsi="宋体" w:cs="宋体"/>
              </w:rPr>
              <w:t>，不演示的不得</w:t>
            </w:r>
            <w:r>
              <w:rPr>
                <w:rFonts w:hint="eastAsia" w:ascii="宋体" w:hAnsi="宋体" w:cs="宋体"/>
              </w:rPr>
              <w:t>分；</w:t>
            </w:r>
          </w:p>
          <w:p>
            <w:pPr>
              <w:rPr>
                <w:rFonts w:ascii="宋体" w:hAnsi="宋体" w:cs="宋体"/>
              </w:rPr>
            </w:pPr>
            <w:r>
              <w:rPr>
                <w:rFonts w:hint="eastAsia" w:ascii="宋体" w:hAnsi="宋体" w:cs="宋体"/>
              </w:rPr>
              <w:t>6、</w:t>
            </w:r>
            <w:r>
              <w:rPr>
                <w:rFonts w:ascii="宋体" w:hAnsi="宋体" w:cs="宋体"/>
              </w:rPr>
              <w:t>演示</w:t>
            </w:r>
            <w:r>
              <w:rPr>
                <w:rFonts w:hint="eastAsia" w:ascii="宋体" w:hAnsi="宋体" w:cs="宋体"/>
              </w:rPr>
              <w:t>对商业银行银行账户、自动交易、自动</w:t>
            </w:r>
            <w:r>
              <w:rPr>
                <w:rFonts w:ascii="宋体" w:hAnsi="宋体" w:cs="宋体"/>
              </w:rPr>
              <w:t>对账</w:t>
            </w:r>
            <w:r>
              <w:rPr>
                <w:rFonts w:hint="eastAsia" w:ascii="宋体" w:hAnsi="宋体" w:cs="宋体"/>
              </w:rPr>
              <w:t>、对</w:t>
            </w:r>
            <w:r>
              <w:rPr>
                <w:rFonts w:ascii="宋体" w:hAnsi="宋体" w:cs="宋体"/>
              </w:rPr>
              <w:t>账成功后</w:t>
            </w:r>
            <w:r>
              <w:rPr>
                <w:rFonts w:hint="eastAsia" w:ascii="宋体" w:hAnsi="宋体" w:cs="宋体"/>
              </w:rPr>
              <w:t>入</w:t>
            </w:r>
            <w:r>
              <w:rPr>
                <w:rFonts w:ascii="宋体" w:hAnsi="宋体" w:cs="宋体"/>
              </w:rPr>
              <w:t>账生成凭证</w:t>
            </w:r>
            <w:r>
              <w:rPr>
                <w:rFonts w:hint="eastAsia" w:ascii="宋体" w:hAnsi="宋体" w:cs="宋体"/>
              </w:rPr>
              <w:t>等功能。演示内容齐全且演示界面的友好，操作简便、演示过程衔接流畅等方面好</w:t>
            </w:r>
            <w:r>
              <w:rPr>
                <w:rFonts w:ascii="宋体" w:hAnsi="宋体" w:cs="宋体"/>
              </w:rPr>
              <w:t>的得3</w:t>
            </w:r>
            <w:r>
              <w:rPr>
                <w:rFonts w:hint="eastAsia" w:ascii="宋体" w:hAnsi="宋体" w:cs="宋体"/>
              </w:rPr>
              <w:t>分</w:t>
            </w:r>
            <w:r>
              <w:rPr>
                <w:rFonts w:ascii="宋体" w:hAnsi="宋体" w:cs="宋体"/>
              </w:rPr>
              <w:t>，</w:t>
            </w:r>
            <w:r>
              <w:rPr>
                <w:rFonts w:hint="eastAsia" w:ascii="宋体" w:hAnsi="宋体" w:cs="宋体"/>
              </w:rPr>
              <w:t>一般</w:t>
            </w:r>
            <w:r>
              <w:rPr>
                <w:rFonts w:ascii="宋体" w:hAnsi="宋体" w:cs="宋体"/>
              </w:rPr>
              <w:t>的得2</w:t>
            </w:r>
            <w:r>
              <w:rPr>
                <w:rFonts w:hint="eastAsia" w:ascii="宋体" w:hAnsi="宋体" w:cs="宋体"/>
              </w:rPr>
              <w:t>分</w:t>
            </w:r>
            <w:r>
              <w:rPr>
                <w:rFonts w:ascii="宋体" w:hAnsi="宋体" w:cs="宋体"/>
              </w:rPr>
              <w:t>，差的得</w:t>
            </w:r>
            <w:r>
              <w:rPr>
                <w:rFonts w:hint="eastAsia" w:ascii="宋体" w:hAnsi="宋体" w:cs="宋体"/>
              </w:rPr>
              <w:t>1分</w:t>
            </w:r>
            <w:r>
              <w:rPr>
                <w:rFonts w:ascii="宋体" w:hAnsi="宋体" w:cs="宋体"/>
              </w:rPr>
              <w:t>，不演示的不得</w:t>
            </w:r>
            <w:r>
              <w:rPr>
                <w:rFonts w:hint="eastAsia" w:ascii="宋体" w:hAnsi="宋体" w:cs="宋体"/>
              </w:rPr>
              <w:t>分；</w:t>
            </w:r>
          </w:p>
          <w:p>
            <w:r>
              <w:rPr>
                <w:rFonts w:hint="eastAsia" w:ascii="宋体" w:hAnsi="宋体" w:cs="宋体"/>
              </w:rPr>
              <w:t>7、能够演示医保基金可视化管控分析效果，清晰展示基金收支余总览、收入分析、支出分析、预算执行进度、基金可支撑能力分析，能够支持自助分析功能。实现对医保财务风险监督管理，自动生成智能分析报告。演示内容齐全且演示界面的友好，操作简便、演示过程衔接流畅等方面好</w:t>
            </w:r>
            <w:r>
              <w:rPr>
                <w:rFonts w:ascii="宋体" w:hAnsi="宋体" w:cs="宋体"/>
              </w:rPr>
              <w:t>的得</w:t>
            </w:r>
            <w:r>
              <w:rPr>
                <w:rFonts w:hint="eastAsia" w:ascii="宋体" w:hAnsi="宋体" w:cs="宋体"/>
              </w:rPr>
              <w:t>2分</w:t>
            </w:r>
            <w:r>
              <w:rPr>
                <w:rFonts w:ascii="宋体" w:hAnsi="宋体" w:cs="宋体"/>
              </w:rPr>
              <w:t>，</w:t>
            </w:r>
            <w:r>
              <w:rPr>
                <w:rFonts w:hint="eastAsia" w:ascii="宋体" w:hAnsi="宋体" w:cs="宋体"/>
              </w:rPr>
              <w:t>一般</w:t>
            </w:r>
            <w:r>
              <w:rPr>
                <w:rFonts w:ascii="宋体" w:hAnsi="宋体" w:cs="宋体"/>
              </w:rPr>
              <w:t>的得</w:t>
            </w:r>
            <w:r>
              <w:rPr>
                <w:rFonts w:hint="eastAsia" w:ascii="宋体" w:hAnsi="宋体" w:cs="宋体"/>
              </w:rPr>
              <w:t>1分</w:t>
            </w:r>
            <w:r>
              <w:rPr>
                <w:rFonts w:ascii="宋体" w:hAnsi="宋体" w:cs="宋体"/>
              </w:rPr>
              <w:t>，差的得</w:t>
            </w:r>
            <w:r>
              <w:rPr>
                <w:rFonts w:hint="eastAsia" w:ascii="宋体" w:hAnsi="宋体" w:cs="宋体"/>
              </w:rPr>
              <w:t>0.5分</w:t>
            </w:r>
            <w:r>
              <w:rPr>
                <w:rFonts w:ascii="宋体" w:hAnsi="宋体" w:cs="宋体"/>
              </w:rPr>
              <w:t>，不演示的不得</w:t>
            </w:r>
            <w:r>
              <w:rPr>
                <w:rFonts w:hint="eastAsia" w:ascii="宋体" w:hAnsi="宋体" w:cs="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r>
              <w:rPr>
                <w:rFonts w:hint="eastAsia" w:ascii="宋体" w:hAnsi="宋体"/>
                <w:b/>
                <w:bCs/>
              </w:rPr>
              <w:t>培训</w:t>
            </w:r>
            <w:r>
              <w:rPr>
                <w:rFonts w:ascii="宋体" w:hAnsi="宋体"/>
                <w:b/>
                <w:bCs/>
              </w:rPr>
              <w:t>及</w:t>
            </w:r>
            <w:r>
              <w:rPr>
                <w:rFonts w:hint="eastAsia" w:ascii="宋体" w:hAnsi="宋体"/>
                <w:b/>
                <w:bCs/>
              </w:rPr>
              <w:t>售后服务</w:t>
            </w:r>
          </w:p>
          <w:p>
            <w:pPr>
              <w:ind w:firstLine="105" w:firstLineChars="50"/>
              <w:jc w:val="center"/>
              <w:rPr>
                <w:rFonts w:ascii="宋体" w:hAnsi="宋体"/>
              </w:rPr>
            </w:pPr>
            <w:r>
              <w:rPr>
                <w:rFonts w:hint="eastAsia" w:ascii="宋体" w:hAnsi="宋体"/>
                <w:b/>
                <w:bCs/>
              </w:rPr>
              <w:t>（10分）</w:t>
            </w: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cs="宋体"/>
                <w:b/>
              </w:rPr>
              <w:t>培训方案：</w:t>
            </w:r>
            <w:r>
              <w:rPr>
                <w:rFonts w:hint="eastAsia" w:ascii="宋体" w:hAnsi="宋体" w:cs="宋体"/>
              </w:rPr>
              <w:t>提出完整的项目培训方案，包括培训计划、培训内容。好的得4分，较好的得2分，一般的得1分，差的不得分。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712"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cs="宋体"/>
                <w:b/>
              </w:rPr>
              <w:t>本地化服务能力：</w:t>
            </w:r>
            <w:r>
              <w:rPr>
                <w:rFonts w:hint="eastAsia" w:ascii="宋体" w:hAnsi="宋体" w:cs="宋体"/>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cs="宋体"/>
                <w:b/>
              </w:rPr>
              <w:t>售后服务方案：</w:t>
            </w:r>
            <w:r>
              <w:rPr>
                <w:rFonts w:hint="eastAsia" w:ascii="宋体" w:hAnsi="宋体" w:cs="宋体"/>
              </w:rPr>
              <w:t>投标人应针对本项目提供相应的售后服务方案。好的得4分，较好的得2分，一般的得1分，差的不得分。</w:t>
            </w:r>
          </w:p>
        </w:tc>
      </w:tr>
    </w:tbl>
    <w:p>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
    <w:p>
      <w:pPr>
        <w:pStyle w:val="3"/>
      </w:pPr>
    </w:p>
    <w:p/>
    <w:p/>
    <w:p/>
    <w:p/>
    <w:p/>
    <w:p/>
    <w:p/>
    <w:p/>
    <w:p/>
    <w:p>
      <w:pPr>
        <w:pStyle w:val="3"/>
      </w:pPr>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6" w:name="_Hlt26671244"/>
      <w:bookmarkEnd w:id="196"/>
      <w:bookmarkStart w:id="197" w:name="_Hlt26955039"/>
      <w:bookmarkEnd w:id="197"/>
      <w:bookmarkStart w:id="198" w:name="_Toc26554094"/>
      <w:bookmarkStart w:id="199" w:name="_Toc49090576"/>
      <w:bookmarkStart w:id="200" w:name="_Toc120614282"/>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jc w:val="center"/>
        <w:rPr>
          <w:rFonts w:ascii="宋体" w:hAnsi="宋体"/>
          <w:b/>
          <w:sz w:val="30"/>
          <w:szCs w:val="30"/>
        </w:rPr>
      </w:pPr>
      <w:r>
        <w:rPr>
          <w:rFonts w:ascii="宋体" w:hAnsi="宋体"/>
          <w:sz w:val="24"/>
        </w:rPr>
        <w:br w:type="page"/>
      </w:r>
      <w:r>
        <w:rPr>
          <w:rFonts w:hint="eastAsia" w:ascii="宋体" w:hAnsi="宋体"/>
          <w:b/>
          <w:sz w:val="30"/>
          <w:szCs w:val="30"/>
        </w:rPr>
        <w:t>评分索引表</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19"/>
              <w:shd w:val="clear" w:color="auto" w:fill="FFFFFF"/>
              <w:spacing w:line="265" w:lineRule="atLeast"/>
              <w:ind w:left="420"/>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19"/>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19"/>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1" w:name="_Toc534725612"/>
      <w:bookmarkStart w:id="202" w:name="_Toc534816641"/>
      <w:r>
        <w:rPr>
          <w:rFonts w:hint="eastAsia"/>
        </w:rPr>
        <w:t>一、资格性和符合性检查响应对照表</w:t>
      </w:r>
      <w:bookmarkEnd w:id="201"/>
      <w:bookmarkEnd w:id="202"/>
    </w:p>
    <w:p>
      <w:pPr>
        <w:ind w:firstLine="309"/>
        <w:rPr>
          <w:rFonts w:ascii="宋体" w:hAnsi="宋体"/>
          <w:sz w:val="24"/>
          <w:szCs w:val="24"/>
        </w:rPr>
      </w:pPr>
      <w:r>
        <w:rPr>
          <w:rFonts w:hint="eastAsia" w:ascii="宋体" w:hAnsi="宋体"/>
          <w:sz w:val="24"/>
          <w:szCs w:val="24"/>
        </w:rPr>
        <w:t>投标人全称（加盖公章）：</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tbl>
    <w:p>
      <w:pPr>
        <w:snapToGrid w:val="0"/>
        <w:spacing w:before="50" w:after="50"/>
        <w:rPr>
          <w:rFonts w:ascii="黑体" w:eastAsia="黑体"/>
          <w:sz w:val="44"/>
        </w:rPr>
        <w:sectPr>
          <w:footerReference r:id="rId4" w:type="first"/>
          <w:footerReference r:id="rId3" w:type="defaul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rPr>
      </w:pPr>
      <w:bookmarkStart w:id="203" w:name="_Toc534816642"/>
      <w:bookmarkStart w:id="204" w:name="_Toc534725613"/>
      <w:r>
        <w:rPr>
          <w:rFonts w:hint="eastAsia"/>
        </w:rPr>
        <w:t>二、资格、资信证明文件要求</w:t>
      </w:r>
      <w:bookmarkEnd w:id="203"/>
      <w:bookmarkEnd w:id="204"/>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6"/>
        <w:rPr>
          <w:rFonts w:ascii="宋体" w:hAnsi="宋体"/>
          <w:sz w:val="24"/>
          <w:szCs w:val="24"/>
        </w:rPr>
      </w:pPr>
      <w:bookmarkStart w:id="205" w:name="_Toc120614284"/>
      <w:r>
        <w:rPr>
          <w:rFonts w:hint="eastAsia" w:ascii="宋体" w:hAnsi="宋体"/>
          <w:sz w:val="24"/>
          <w:szCs w:val="24"/>
        </w:rPr>
        <w:t>格式1 《企业声明函》</w:t>
      </w:r>
    </w:p>
    <w:p>
      <w:pPr>
        <w:pStyle w:val="6"/>
      </w:pPr>
      <w:r>
        <w:rPr>
          <w:rFonts w:hint="eastAsia" w:ascii="宋体" w:hAnsi="宋体"/>
          <w:sz w:val="24"/>
          <w:szCs w:val="24"/>
        </w:rPr>
        <w:t>格式2《残疾人福利性单位声明函》</w:t>
      </w:r>
    </w:p>
    <w:p>
      <w:pPr>
        <w:pStyle w:val="6"/>
        <w:ind w:firstLine="0"/>
        <w:jc w:val="center"/>
        <w:rPr>
          <w:rFonts w:ascii="黑体" w:hAnsi="宋体" w:eastAsia="黑体"/>
          <w:b/>
          <w:bCs/>
          <w:sz w:val="30"/>
          <w:szCs w:val="30"/>
        </w:rPr>
      </w:pPr>
      <w:r>
        <w:br w:type="page"/>
      </w:r>
      <w:bookmarkStart w:id="206" w:name="_Toc534816643"/>
      <w:bookmarkStart w:id="207" w:name="_Toc534725614"/>
      <w:r>
        <w:rPr>
          <w:rFonts w:hint="eastAsia" w:ascii="黑体" w:hAnsi="宋体" w:eastAsia="黑体"/>
          <w:b/>
          <w:bCs/>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16"/>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8" w:name="_Toc534816644"/>
      <w:bookmarkStart w:id="209" w:name="_Toc534725615"/>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8"/>
      <w:bookmarkEnd w:id="209"/>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16"/>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0" w:name="_Toc534816645"/>
      <w:bookmarkStart w:id="211" w:name="_Toc534725616"/>
      <w:r>
        <w:rPr>
          <w:rFonts w:hint="eastAsia" w:ascii="黑体" w:hAnsi="宋体" w:eastAsia="黑体"/>
          <w:b/>
          <w:bCs/>
          <w:sz w:val="30"/>
          <w:szCs w:val="30"/>
        </w:rPr>
        <w:t>法人授权书</w:t>
      </w:r>
      <w:bookmarkEnd w:id="210"/>
      <w:bookmarkEnd w:id="211"/>
    </w:p>
    <w:p>
      <w:pPr>
        <w:pStyle w:val="20"/>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0"/>
        <w:spacing w:beforeLines="50" w:afterLines="50" w:line="300" w:lineRule="auto"/>
        <w:ind w:firstLine="480"/>
        <w:rPr>
          <w:sz w:val="24"/>
          <w:szCs w:val="24"/>
        </w:rPr>
      </w:pPr>
      <w:r>
        <w:rPr>
          <w:rFonts w:hint="eastAsia"/>
          <w:sz w:val="24"/>
          <w:szCs w:val="24"/>
        </w:rPr>
        <w:t>本授权书于______年____月____日起生效，特此声明。</w:t>
      </w:r>
    </w:p>
    <w:p>
      <w:pPr>
        <w:pStyle w:val="20"/>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0"/>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0"/>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0"/>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0"/>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0"/>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0"/>
        <w:spacing w:beforeLines="50" w:afterLines="50" w:line="300" w:lineRule="auto"/>
        <w:ind w:firstLine="480"/>
        <w:rPr>
          <w:sz w:val="24"/>
          <w:szCs w:val="24"/>
          <w:u w:val="single"/>
        </w:rPr>
      </w:pPr>
      <w:r>
        <w:rPr>
          <w:rFonts w:hint="eastAsia"/>
          <w:sz w:val="24"/>
          <w:szCs w:val="24"/>
        </w:rPr>
        <w:t xml:space="preserve">      日期：</w:t>
      </w:r>
      <w:bookmarkStart w:id="212" w:name="_Hlt26671380"/>
      <w:bookmarkEnd w:id="212"/>
      <w:bookmarkStart w:id="213" w:name="_格式3__银行出具的资信证明"/>
      <w:bookmarkEnd w:id="213"/>
      <w:bookmarkStart w:id="214" w:name="_Hlt26955070"/>
      <w:bookmarkEnd w:id="214"/>
      <w:r>
        <w:rPr>
          <w:rFonts w:hint="eastAsia"/>
          <w:sz w:val="24"/>
          <w:szCs w:val="24"/>
          <w:u w:val="single"/>
        </w:rPr>
        <w:t xml:space="preserve">                                         </w:t>
      </w:r>
    </w:p>
    <w:p>
      <w:pPr>
        <w:pStyle w:val="20"/>
        <w:spacing w:beforeLines="50" w:afterLines="50" w:line="300" w:lineRule="auto"/>
        <w:ind w:firstLine="480"/>
        <w:rPr>
          <w:sz w:val="24"/>
          <w:szCs w:val="24"/>
          <w:u w:val="single"/>
        </w:rPr>
      </w:pPr>
    </w:p>
    <w:p>
      <w:pPr>
        <w:pStyle w:val="20"/>
        <w:spacing w:beforeLines="50" w:afterLines="50" w:line="300" w:lineRule="auto"/>
        <w:ind w:firstLine="480"/>
        <w:rPr>
          <w:sz w:val="24"/>
          <w:szCs w:val="24"/>
          <w:u w:val="single"/>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0"/>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5" w:name="_Toc534816646"/>
      <w:bookmarkStart w:id="216" w:name="_Toc534725617"/>
      <w:r>
        <w:rPr>
          <w:rFonts w:hint="eastAsia" w:ascii="宋体" w:hAnsi="宋体" w:eastAsia="宋体" w:cs="Times New Roman"/>
          <w:bCs w:val="0"/>
          <w:sz w:val="32"/>
          <w:szCs w:val="32"/>
        </w:rPr>
        <w:t>投标函格式</w:t>
      </w:r>
      <w:bookmarkEnd w:id="215"/>
      <w:bookmarkEnd w:id="216"/>
    </w:p>
    <w:p>
      <w:pPr>
        <w:pStyle w:val="16"/>
        <w:spacing w:beforeLines="50" w:afterLines="50" w:line="300" w:lineRule="auto"/>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16"/>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16"/>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16"/>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16"/>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16"/>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16"/>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16"/>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16"/>
        <w:spacing w:beforeLines="50" w:afterLines="50" w:line="300" w:lineRule="auto"/>
        <w:ind w:left="425"/>
        <w:rPr>
          <w:rFonts w:ascii="宋体" w:hAnsi="宋体"/>
          <w:kern w:val="2"/>
          <w:szCs w:val="21"/>
        </w:rPr>
      </w:pPr>
      <w:r>
        <w:rPr>
          <w:rFonts w:hint="eastAsia" w:ascii="宋体" w:hAnsi="宋体"/>
          <w:kern w:val="2"/>
          <w:szCs w:val="21"/>
        </w:rPr>
        <w:t>8.与本投标有关的正式通讯地址为：</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7" w:name="_Toc534725618"/>
      <w:bookmarkStart w:id="218" w:name="_Toc534816647"/>
      <w:r>
        <w:rPr>
          <w:rFonts w:hint="eastAsia"/>
        </w:rPr>
        <w:t>三、分项报价表</w:t>
      </w:r>
      <w:bookmarkEnd w:id="217"/>
      <w:bookmarkEnd w:id="218"/>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19" w:name="_Toc534816648"/>
      <w:bookmarkStart w:id="220" w:name="_Toc534725619"/>
      <w:r>
        <w:rPr>
          <w:rFonts w:hint="eastAsia"/>
        </w:rPr>
        <w:t>四、项目需求响应及偏离表</w:t>
      </w:r>
      <w:bookmarkEnd w:id="219"/>
      <w:bookmarkEnd w:id="220"/>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5"/>
    <w:p>
      <w:pPr>
        <w:pStyle w:val="4"/>
        <w:jc w:val="center"/>
      </w:pPr>
      <w:bookmarkStart w:id="221" w:name="_Hlt26955054"/>
      <w:bookmarkEnd w:id="221"/>
      <w:bookmarkStart w:id="222" w:name="_Toc534816649"/>
      <w:bookmarkStart w:id="223" w:name="_Toc534725620"/>
      <w:r>
        <w:rPr>
          <w:rFonts w:hint="eastAsia"/>
        </w:rPr>
        <w:t>五、商务条款响应及偏离表</w:t>
      </w:r>
      <w:bookmarkEnd w:id="222"/>
      <w:bookmarkEnd w:id="223"/>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4" w:name="_Hlt26609391"/>
      <w:bookmarkEnd w:id="224"/>
      <w:bookmarkStart w:id="225" w:name="_Hlt26671343"/>
      <w:bookmarkEnd w:id="225"/>
      <w:bookmarkStart w:id="226" w:name="_Hlt24879081"/>
      <w:bookmarkEnd w:id="226"/>
      <w:bookmarkStart w:id="227" w:name="_Hlt26580838"/>
      <w:bookmarkEnd w:id="227"/>
      <w:bookmarkStart w:id="228" w:name="_Hlt26955056"/>
      <w:bookmarkEnd w:id="228"/>
      <w:bookmarkStart w:id="229" w:name="_Hlt26671372"/>
      <w:bookmarkEnd w:id="229"/>
      <w:bookmarkStart w:id="230" w:name="_Hlt26782999"/>
      <w:bookmarkEnd w:id="230"/>
      <w:bookmarkStart w:id="231" w:name="_Hlt26955064"/>
      <w:bookmarkEnd w:id="231"/>
    </w:p>
    <w:p>
      <w:pPr>
        <w:pStyle w:val="6"/>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2" w:name="_Toc462564146"/>
    </w:p>
    <w:bookmarkEnd w:id="232"/>
    <w:p>
      <w:pPr>
        <w:pStyle w:val="4"/>
        <w:jc w:val="center"/>
        <w:rPr>
          <w:rFonts w:eastAsia="仿宋_GB2312"/>
          <w:sz w:val="24"/>
          <w:szCs w:val="20"/>
        </w:rPr>
      </w:pPr>
      <w:bookmarkStart w:id="233" w:name="_格式2__法定代表人授权书"/>
      <w:bookmarkEnd w:id="233"/>
      <w:bookmarkStart w:id="234" w:name="_Toc120614283"/>
      <w:bookmarkStart w:id="235" w:name="_Toc23828478"/>
      <w:bookmarkStart w:id="236" w:name="_Toc26554095"/>
      <w:bookmarkStart w:id="237" w:name="_Toc513029276"/>
      <w:bookmarkStart w:id="238" w:name="_Toc22356580"/>
      <w:bookmarkStart w:id="239" w:name="_Toc49090577"/>
      <w:bookmarkStart w:id="240" w:name="_Toc460901585"/>
      <w:bookmarkStart w:id="241" w:name="_Toc534816650"/>
      <w:bookmarkStart w:id="242" w:name="_Toc534725621"/>
      <w:r>
        <w:rPr>
          <w:rFonts w:hint="eastAsia"/>
        </w:rPr>
        <w:t>六、</w:t>
      </w:r>
      <w:bookmarkEnd w:id="234"/>
      <w:bookmarkEnd w:id="235"/>
      <w:bookmarkEnd w:id="236"/>
      <w:bookmarkEnd w:id="237"/>
      <w:bookmarkEnd w:id="238"/>
      <w:bookmarkEnd w:id="239"/>
      <w:bookmarkEnd w:id="240"/>
      <w:r>
        <w:rPr>
          <w:rFonts w:hint="eastAsia"/>
        </w:rPr>
        <w:t>开标一览表</w:t>
      </w:r>
      <w:bookmarkEnd w:id="241"/>
      <w:bookmarkEnd w:id="242"/>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2481"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8"/>
              <w:adjustRightInd w:val="0"/>
              <w:snapToGrid w:val="0"/>
              <w:spacing w:line="300" w:lineRule="auto"/>
              <w:rPr>
                <w:rFonts w:ascii="宋体" w:hAnsi="宋体" w:eastAsia="宋体" w:cs="宋体"/>
                <w:sz w:val="24"/>
                <w:szCs w:val="24"/>
              </w:rPr>
            </w:pPr>
          </w:p>
        </w:tc>
        <w:tc>
          <w:tcPr>
            <w:tcW w:w="6405"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16"/>
              <w:spacing w:before="0" w:after="0" w:line="500" w:lineRule="exact"/>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3" w:name="_Toc534725622"/>
      <w:bookmarkStart w:id="244" w:name="_Toc534816651"/>
      <w:r>
        <w:rPr>
          <w:rFonts w:hint="eastAsia"/>
        </w:rPr>
        <w:t>七、技术方案</w:t>
      </w:r>
      <w:bookmarkEnd w:id="243"/>
      <w:bookmarkEnd w:id="244"/>
    </w:p>
    <w:p>
      <w:pPr>
        <w:pStyle w:val="6"/>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5" w:name="_Toc534725623"/>
      <w:bookmarkStart w:id="246" w:name="_Toc534816652"/>
      <w:r>
        <w:rPr>
          <w:rFonts w:hint="eastAsia"/>
        </w:rPr>
        <w:t>附件：</w:t>
      </w:r>
      <w:bookmarkEnd w:id="245"/>
      <w:bookmarkEnd w:id="246"/>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bookmarkEnd w:id="180"/>
    <w:bookmarkEnd w:id="181"/>
    <w:bookmarkEnd w:id="198"/>
    <w:bookmarkEnd w:id="199"/>
    <w:bookmarkEnd w:id="200"/>
    <w:p>
      <w:pPr>
        <w:spacing w:line="440" w:lineRule="exact"/>
        <w:rPr>
          <w:rFonts w:ascii="宋体" w:hAnsi="宋体"/>
          <w:sz w:val="24"/>
        </w:rPr>
      </w:pPr>
    </w:p>
    <w:sectPr>
      <w:pgSz w:w="11906" w:h="16838"/>
      <w:pgMar w:top="1418" w:right="1588" w:bottom="1418" w:left="1365" w:header="851" w:footer="907" w:gutter="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7237071"/>
      <w:docPartObj>
        <w:docPartGallery w:val="autotext"/>
      </w:docPartObj>
    </w:sdtPr>
    <w:sdtContent>
      <w:p>
        <w:pPr>
          <w:pStyle w:val="10"/>
          <w:jc w:val="center"/>
        </w:pPr>
        <w:r>
          <w:fldChar w:fldCharType="begin"/>
        </w:r>
        <w:r>
          <w:instrText xml:space="preserve">PAGE   \* MERGEFORMAT</w:instrText>
        </w:r>
        <w:r>
          <w:fldChar w:fldCharType="separate"/>
        </w:r>
        <w:r>
          <w:rPr>
            <w:lang w:val="zh-CN"/>
          </w:rPr>
          <w:t>93</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92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22F08"/>
    <w:multiLevelType w:val="multilevel"/>
    <w:tmpl w:val="0A022F08"/>
    <w:lvl w:ilvl="0" w:tentative="0">
      <w:start w:val="8"/>
      <w:numFmt w:val="japaneseCounting"/>
      <w:lvlText w:val="（%1）"/>
      <w:lvlJc w:val="left"/>
      <w:pPr>
        <w:ind w:left="1560" w:hanging="10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2">
    <w:nsid w:val="2A2231B5"/>
    <w:multiLevelType w:val="singleLevel"/>
    <w:tmpl w:val="2A2231B5"/>
    <w:lvl w:ilvl="0" w:tentative="0">
      <w:start w:val="2"/>
      <w:numFmt w:val="chineseCounting"/>
      <w:suff w:val="nothing"/>
      <w:lvlText w:val="%1、"/>
      <w:lvlJc w:val="left"/>
      <w:rPr>
        <w:rFonts w:hint="eastAsia"/>
      </w:rPr>
    </w:lvl>
  </w:abstractNum>
  <w:abstractNum w:abstractNumId="3">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65246D87"/>
    <w:rsid w:val="00006D00"/>
    <w:rsid w:val="00113277"/>
    <w:rsid w:val="002158E2"/>
    <w:rsid w:val="003E7310"/>
    <w:rsid w:val="00601232"/>
    <w:rsid w:val="007F2E58"/>
    <w:rsid w:val="008001C1"/>
    <w:rsid w:val="00875857"/>
    <w:rsid w:val="00941D65"/>
    <w:rsid w:val="009D6104"/>
    <w:rsid w:val="00A87338"/>
    <w:rsid w:val="00A90839"/>
    <w:rsid w:val="00B739EC"/>
    <w:rsid w:val="00BB7538"/>
    <w:rsid w:val="00C10D47"/>
    <w:rsid w:val="00C541E2"/>
    <w:rsid w:val="00C802EB"/>
    <w:rsid w:val="00D15AA9"/>
    <w:rsid w:val="01A5719E"/>
    <w:rsid w:val="2FA13CC8"/>
    <w:rsid w:val="41D625BA"/>
    <w:rsid w:val="4CCC1E1F"/>
    <w:rsid w:val="523A2DB1"/>
    <w:rsid w:val="65246D87"/>
    <w:rsid w:val="6C0A37BA"/>
    <w:rsid w:val="79FB08BF"/>
    <w:rsid w:val="7ABC70EA"/>
    <w:rsid w:val="7F801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23"/>
    <w:qFormat/>
    <w:uiPriority w:val="0"/>
    <w:pPr>
      <w:jc w:val="left"/>
    </w:pPr>
  </w:style>
  <w:style w:type="paragraph" w:styleId="8">
    <w:name w:val="Body Text"/>
    <w:basedOn w:val="1"/>
    <w:qFormat/>
    <w:uiPriority w:val="0"/>
    <w:rPr>
      <w:rFonts w:ascii="楷体_GB2312" w:hAnsi="Arial" w:eastAsia="楷体_GB2312"/>
      <w:sz w:val="28"/>
      <w:szCs w:val="28"/>
    </w:rPr>
  </w:style>
  <w:style w:type="paragraph" w:styleId="9">
    <w:name w:val="Balloon Text"/>
    <w:basedOn w:val="1"/>
    <w:link w:val="22"/>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39"/>
    <w:pPr>
      <w:ind w:left="210"/>
      <w:jc w:val="left"/>
    </w:pPr>
    <w:rPr>
      <w:smallCaps/>
      <w:szCs w:val="24"/>
    </w:rPr>
  </w:style>
  <w:style w:type="character" w:styleId="15">
    <w:name w:val="Hyperlink"/>
    <w:qFormat/>
    <w:uiPriority w:val="99"/>
    <w:rPr>
      <w:color w:val="0000FF"/>
      <w:u w:val="single"/>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7">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18">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19">
    <w:name w:val="列出段落1"/>
    <w:basedOn w:val="1"/>
    <w:qFormat/>
    <w:uiPriority w:val="0"/>
    <w:pPr>
      <w:widowControl/>
      <w:ind w:left="720"/>
      <w:contextualSpacing/>
      <w:jc w:val="left"/>
    </w:pPr>
    <w:rPr>
      <w:kern w:val="0"/>
      <w:sz w:val="24"/>
      <w:szCs w:val="24"/>
      <w:lang w:eastAsia="en-US" w:bidi="en-US"/>
    </w:rPr>
  </w:style>
  <w:style w:type="paragraph" w:customStyle="1" w:styleId="20">
    <w:name w:val="Char"/>
    <w:basedOn w:val="1"/>
    <w:qFormat/>
    <w:uiPriority w:val="0"/>
    <w:pPr>
      <w:tabs>
        <w:tab w:val="left" w:pos="360"/>
      </w:tabs>
      <w:ind w:firstLine="200" w:firstLineChars="200"/>
    </w:pPr>
    <w:rPr>
      <w:sz w:val="28"/>
      <w:szCs w:val="30"/>
    </w:rPr>
  </w:style>
  <w:style w:type="paragraph" w:styleId="21">
    <w:name w:val="List Paragraph"/>
    <w:basedOn w:val="1"/>
    <w:unhideWhenUsed/>
    <w:qFormat/>
    <w:uiPriority w:val="99"/>
    <w:pPr>
      <w:ind w:firstLine="420" w:firstLineChars="200"/>
    </w:pPr>
  </w:style>
  <w:style w:type="character" w:customStyle="1" w:styleId="22">
    <w:name w:val="批注框文本 Char"/>
    <w:basedOn w:val="14"/>
    <w:link w:val="9"/>
    <w:qFormat/>
    <w:uiPriority w:val="0"/>
    <w:rPr>
      <w:rFonts w:ascii="Calibri" w:hAnsi="Calibri" w:eastAsia="宋体" w:cs="Times New Roman"/>
      <w:kern w:val="2"/>
      <w:sz w:val="18"/>
      <w:szCs w:val="18"/>
    </w:rPr>
  </w:style>
  <w:style w:type="character" w:customStyle="1" w:styleId="23">
    <w:name w:val="批注文字 Char"/>
    <w:basedOn w:val="14"/>
    <w:link w:val="7"/>
    <w:qFormat/>
    <w:uiPriority w:val="0"/>
    <w:rPr>
      <w:rFonts w:ascii="Calibri" w:hAnsi="Calibri" w:eastAsia="宋体" w:cs="Times New Roman"/>
      <w:kern w:val="2"/>
      <w:sz w:val="21"/>
      <w:szCs w:val="21"/>
    </w:rPr>
  </w:style>
  <w:style w:type="character" w:customStyle="1" w:styleId="24">
    <w:name w:val="页脚 Char"/>
    <w:basedOn w:val="14"/>
    <w:link w:val="10"/>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5731-E403-4840-8623-2DCCFCFFB998}">
  <ds:schemaRefs/>
</ds:datastoreItem>
</file>

<file path=docProps/app.xml><?xml version="1.0" encoding="utf-8"?>
<Properties xmlns="http://schemas.openxmlformats.org/officeDocument/2006/extended-properties" xmlns:vt="http://schemas.openxmlformats.org/officeDocument/2006/docPropsVTypes">
  <Template>Normal.dotm</Template>
  <Pages>94</Pages>
  <Words>49514</Words>
  <Characters>52506</Characters>
  <Lines>412</Lines>
  <Paragraphs>116</Paragraphs>
  <TotalTime>14</TotalTime>
  <ScaleCrop>false</ScaleCrop>
  <LinksUpToDate>false</LinksUpToDate>
  <CharactersWithSpaces>56127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2020-08-02T03:59:00Z</dcterms:created>
  <dc:creator>蓉</dc:creator>
  <cp:lastModifiedBy>Administrator</cp:lastModifiedBy>
  <dcterms:modified xsi:type="dcterms:W3CDTF">2025-02-07T14:04:48Z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4FBC568E05D44FFB82B3FEECE1D01D68</vt:lpwstr>
  </property>
</Properties>
</file>