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after="0"/>
        <w:ind w:firstLine="0"/>
        <w:rPr>
          <w:rFonts w:hint="eastAsia" w:ascii="宋体" w:hAnsi="宋体" w:eastAsia="宋体"/>
          <w:lang w:eastAsia="zh-CN"/>
        </w:rPr>
      </w:pPr>
    </w:p>
    <w:p>
      <w:pPr>
        <w:pStyle w:val="16"/>
        <w:ind w:firstLine="0"/>
        <w:jc w:val="center"/>
        <w:rPr>
          <w:rFonts w:eastAsia="黑体"/>
          <w:b/>
          <w:bCs/>
          <w:sz w:val="84"/>
        </w:rPr>
      </w:pPr>
    </w:p>
    <w:p>
      <w:pPr>
        <w:pStyle w:val="16"/>
        <w:ind w:firstLine="0"/>
        <w:jc w:val="center"/>
        <w:rPr>
          <w:rFonts w:eastAsia="黑体"/>
          <w:b/>
          <w:bCs/>
          <w:sz w:val="84"/>
        </w:rPr>
      </w:pPr>
      <w:r>
        <w:rPr>
          <w:rFonts w:hint="eastAsia" w:eastAsia="黑体"/>
          <w:b/>
          <w:bCs/>
          <w:sz w:val="84"/>
        </w:rPr>
        <w:t>招　标　文　件</w:t>
      </w:r>
    </w:p>
    <w:p>
      <w:pPr>
        <w:pStyle w:val="16"/>
        <w:ind w:firstLine="0"/>
        <w:rPr>
          <w:b/>
          <w:bCs/>
          <w:sz w:val="32"/>
        </w:rPr>
      </w:pPr>
    </w:p>
    <w:p>
      <w:pPr>
        <w:pStyle w:val="16"/>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包五：医保智能监管子系统</w:t>
      </w:r>
    </w:p>
    <w:p>
      <w:pPr>
        <w:pStyle w:val="16"/>
        <w:ind w:firstLine="0"/>
        <w:jc w:val="center"/>
        <w:rPr>
          <w:b/>
          <w:bCs/>
          <w:sz w:val="32"/>
        </w:rPr>
      </w:pPr>
    </w:p>
    <w:p>
      <w:pPr>
        <w:pStyle w:val="16"/>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6"/>
        <w:spacing w:before="0" w:after="0"/>
        <w:ind w:firstLine="0"/>
        <w:rPr>
          <w:rFonts w:ascii="宋体" w:hAnsi="宋体"/>
        </w:rPr>
      </w:pPr>
    </w:p>
    <w:p>
      <w:pPr>
        <w:pStyle w:val="16"/>
        <w:spacing w:before="0" w:after="0"/>
        <w:ind w:firstLine="0"/>
        <w:rPr>
          <w:rFonts w:ascii="宋体" w:hAnsi="宋体"/>
        </w:rPr>
      </w:pPr>
      <w:r>
        <w:rPr>
          <w:rFonts w:hint="eastAsia" w:ascii="宋体" w:hAnsi="宋体"/>
        </w:rPr>
        <w:t xml:space="preserve">                            </w:t>
      </w:r>
    </w:p>
    <w:p>
      <w:pPr>
        <w:pStyle w:val="16"/>
        <w:spacing w:before="0" w:after="0"/>
        <w:ind w:firstLine="0"/>
        <w:rPr>
          <w:rFonts w:ascii="宋体" w:hAnsi="宋体"/>
        </w:rPr>
      </w:pPr>
    </w:p>
    <w:p>
      <w:pPr>
        <w:pStyle w:val="16"/>
        <w:spacing w:before="0" w:after="0"/>
        <w:ind w:firstLine="0"/>
        <w:rPr>
          <w:rFonts w:ascii="宋体" w:hAnsi="宋体"/>
        </w:rPr>
      </w:pPr>
    </w:p>
    <w:p>
      <w:pPr>
        <w:pStyle w:val="16"/>
        <w:spacing w:before="0" w:after="0"/>
        <w:ind w:firstLine="0"/>
        <w:rPr>
          <w:rFonts w:ascii="宋体" w:hAnsi="宋体"/>
        </w:rPr>
      </w:pPr>
    </w:p>
    <w:p>
      <w:pPr>
        <w:pStyle w:val="16"/>
        <w:ind w:firstLine="0"/>
        <w:jc w:val="center"/>
        <w:rPr>
          <w:b/>
          <w:bCs/>
          <w:sz w:val="32"/>
        </w:rPr>
      </w:pPr>
      <w:r>
        <w:rPr>
          <w:rFonts w:hint="eastAsia"/>
          <w:b/>
          <w:bCs/>
          <w:sz w:val="32"/>
        </w:rPr>
        <w:t>新疆维吾尔自治区政府服务和公共资源交易中心</w:t>
      </w:r>
    </w:p>
    <w:p>
      <w:pPr>
        <w:pStyle w:val="16"/>
        <w:ind w:firstLine="0"/>
        <w:jc w:val="center"/>
      </w:pPr>
      <w:r>
        <w:rPr>
          <w:rFonts w:hint="eastAsia"/>
          <w:b/>
          <w:bCs/>
          <w:sz w:val="32"/>
        </w:rPr>
        <w:t>2020年8月5</w:t>
      </w:r>
      <w:r>
        <w:rPr>
          <w:b/>
          <w:bCs/>
          <w:sz w:val="32"/>
        </w:rPr>
        <w:t>日</w:t>
      </w:r>
    </w:p>
    <w:p>
      <w:pPr>
        <w:pStyle w:val="16"/>
        <w:ind w:firstLine="0"/>
        <w:jc w:val="center"/>
      </w:pPr>
    </w:p>
    <w:p>
      <w:bookmarkStart w:id="0" w:name="_Toc120614210"/>
      <w:bookmarkStart w:id="1" w:name="_Toc494375077"/>
      <w:bookmarkStart w:id="2" w:name="_Toc16938516"/>
      <w:bookmarkStart w:id="3" w:name="_Toc20823272"/>
      <w:bookmarkStart w:id="4" w:name="_Toc523127445"/>
      <w:bookmarkStart w:id="5" w:name="_Toc479757206"/>
      <w:bookmarkStart w:id="6" w:name="_Toc513029200"/>
    </w:p>
    <w:p>
      <w:pPr>
        <w:pStyle w:val="17"/>
        <w:jc w:val="center"/>
        <w:rPr>
          <w:color w:val="auto"/>
          <w:sz w:val="44"/>
          <w:szCs w:val="44"/>
        </w:rPr>
      </w:pPr>
      <w:r>
        <w:rPr>
          <w:color w:val="auto"/>
          <w:sz w:val="44"/>
          <w:szCs w:val="44"/>
          <w:lang w:val="zh-CN"/>
        </w:rPr>
        <w:t>目录</w:t>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5"/>
          <w:rFonts w:hint="eastAsia" w:ascii="黑体" w:hAnsi="黑体" w:eastAsia="黑体"/>
          <w:color w:val="auto"/>
          <w:sz w:val="32"/>
          <w:szCs w:val="32"/>
        </w:rPr>
        <w:t>第一章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5"/>
          <w:rFonts w:hint="eastAsia" w:ascii="黑体" w:hAnsi="黑体" w:eastAsia="黑体"/>
          <w:color w:val="auto"/>
          <w:sz w:val="32"/>
          <w:szCs w:val="32"/>
        </w:rPr>
        <w:t>第二章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投标人须知</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_Toc534816626 \h </w:instrText>
      </w:r>
      <w:r>
        <w:rPr>
          <w:rFonts w:ascii="黑体" w:hAnsi="黑体" w:eastAsia="黑体"/>
          <w:sz w:val="32"/>
          <w:szCs w:val="32"/>
        </w:rPr>
        <w:fldChar w:fldCharType="separate"/>
      </w:r>
      <w:r>
        <w:rPr>
          <w:rFonts w:ascii="黑体" w:hAnsi="黑体" w:eastAsia="黑体"/>
          <w:sz w:val="32"/>
          <w:szCs w:val="32"/>
        </w:rPr>
        <w:t>5</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5"/>
          <w:rFonts w:hint="eastAsia" w:ascii="黑体" w:hAnsi="黑体" w:eastAsia="黑体"/>
          <w:color w:val="auto"/>
          <w:sz w:val="32"/>
          <w:szCs w:val="32"/>
        </w:rPr>
        <w:t>第三章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合同文本</w:t>
      </w:r>
      <w:r>
        <w:rPr>
          <w:rFonts w:ascii="黑体" w:hAnsi="黑体" w:eastAsia="黑体"/>
          <w:sz w:val="32"/>
          <w:szCs w:val="32"/>
        </w:rPr>
        <w:tab/>
      </w:r>
      <w:r>
        <w:rPr>
          <w:rFonts w:hint="eastAsia" w:ascii="黑体" w:hAnsi="黑体" w:eastAsia="黑体"/>
          <w:sz w:val="32"/>
          <w:szCs w:val="32"/>
        </w:rPr>
        <w:t>2</w:t>
      </w:r>
      <w:r>
        <w:rPr>
          <w:rFonts w:hint="eastAsia" w:ascii="黑体" w:hAnsi="黑体" w:eastAsia="黑体"/>
          <w:sz w:val="32"/>
          <w:szCs w:val="32"/>
        </w:rPr>
        <w:fldChar w:fldCharType="end"/>
      </w:r>
      <w:r>
        <w:rPr>
          <w:rFonts w:hint="eastAsia" w:ascii="黑体" w:hAnsi="黑体" w:eastAsia="黑体"/>
          <w:sz w:val="32"/>
          <w:szCs w:val="32"/>
        </w:rPr>
        <w:t>0</w:t>
      </w:r>
    </w:p>
    <w:p>
      <w:pPr>
        <w:pStyle w:val="12"/>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5"/>
          <w:rFonts w:hint="eastAsia" w:ascii="黑体" w:hAnsi="黑体" w:eastAsia="黑体"/>
          <w:color w:val="auto"/>
          <w:sz w:val="32"/>
          <w:szCs w:val="32"/>
        </w:rPr>
        <w:t>第四章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7</w:t>
      </w:r>
    </w:p>
    <w:p>
      <w:pPr>
        <w:pStyle w:val="12"/>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5"/>
          <w:rFonts w:hint="eastAsia" w:ascii="黑体" w:hAnsi="黑体" w:eastAsia="黑体"/>
          <w:color w:val="auto"/>
          <w:sz w:val="32"/>
          <w:szCs w:val="32"/>
        </w:rPr>
        <w:t>第五章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评标方法与评标标准</w:t>
      </w:r>
      <w:r>
        <w:rPr>
          <w:rFonts w:ascii="黑体" w:hAnsi="黑体" w:eastAsia="黑体"/>
          <w:sz w:val="32"/>
          <w:szCs w:val="32"/>
        </w:rPr>
        <w:tab/>
      </w:r>
      <w:r>
        <w:rPr>
          <w:rFonts w:hint="eastAsia" w:ascii="黑体" w:hAnsi="黑体" w:eastAsia="黑体"/>
          <w:sz w:val="32"/>
          <w:szCs w:val="32"/>
        </w:rPr>
        <w:t>6</w:t>
      </w:r>
      <w:r>
        <w:rPr>
          <w:rFonts w:hint="eastAsia" w:ascii="黑体" w:hAnsi="黑体" w:eastAsia="黑体"/>
          <w:sz w:val="32"/>
          <w:szCs w:val="32"/>
        </w:rPr>
        <w:fldChar w:fldCharType="end"/>
      </w:r>
      <w:r>
        <w:rPr>
          <w:rFonts w:hint="eastAsia" w:ascii="黑体" w:hAnsi="黑体" w:eastAsia="黑体"/>
          <w:sz w:val="32"/>
          <w:szCs w:val="32"/>
        </w:rPr>
        <w:t>4</w:t>
      </w:r>
    </w:p>
    <w:p>
      <w:pPr>
        <w:pStyle w:val="12"/>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5"/>
          <w:rFonts w:hint="eastAsia" w:ascii="黑体" w:hAnsi="黑体" w:eastAsia="黑体"/>
          <w:color w:val="auto"/>
          <w:sz w:val="32"/>
          <w:szCs w:val="32"/>
        </w:rPr>
        <w:t>第六章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6</w:t>
      </w:r>
      <w:r>
        <w:rPr>
          <w:rFonts w:hint="eastAsia" w:ascii="黑体" w:hAnsi="黑体" w:eastAsia="黑体"/>
          <w:sz w:val="32"/>
          <w:szCs w:val="32"/>
        </w:rPr>
        <w:fldChar w:fldCharType="end"/>
      </w:r>
      <w:r>
        <w:rPr>
          <w:rFonts w:hint="eastAsia" w:ascii="黑体" w:hAnsi="黑体" w:eastAsia="黑体"/>
          <w:sz w:val="32"/>
          <w:szCs w:val="32"/>
        </w:rPr>
        <w:t>7</w:t>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725596"/>
      <w:bookmarkStart w:id="8" w:name="_Toc534816625"/>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包五：医保智能监管子系统</w:t>
      </w:r>
      <w:r>
        <w:rPr>
          <w:rFonts w:hint="eastAsia" w:ascii="Arial" w:hAnsi="宋体"/>
        </w:rPr>
        <w:t>）</w:t>
      </w:r>
      <w:r>
        <w:rPr>
          <w:rFonts w:hint="eastAsia" w:hAnsi="宋体"/>
        </w:rPr>
        <w:t>进行公开招标采购，欢迎符合相关条件的合格供应商投标。</w:t>
      </w:r>
    </w:p>
    <w:p>
      <w:pPr>
        <w:pStyle w:val="16"/>
        <w:ind w:firstLine="723" w:firstLineChars="300"/>
        <w:jc w:val="both"/>
        <w:rPr>
          <w:rFonts w:ascii="宋体" w:hAnsi="宋体"/>
          <w:b/>
          <w:bCs/>
        </w:rPr>
      </w:pPr>
      <w:r>
        <w:rPr>
          <w:rFonts w:hint="eastAsia" w:ascii="宋体" w:hAnsi="宋体"/>
          <w:b/>
          <w:bCs/>
        </w:rPr>
        <w:t>一、项目名称及编号</w:t>
      </w:r>
    </w:p>
    <w:p>
      <w:pPr>
        <w:spacing w:before="100" w:beforeAutospacing="1" w:after="100" w:afterAutospacing="1"/>
        <w:rPr>
          <w:rFonts w:ascii="Arial" w:hAnsi="宋体"/>
        </w:rPr>
      </w:pPr>
      <w:r>
        <w:rPr>
          <w:rFonts w:hint="eastAsia" w:hAnsi="宋体"/>
          <w:sz w:val="24"/>
          <w:szCs w:val="24"/>
        </w:rPr>
        <w:t xml:space="preserve">    项目名称：新疆维吾尔自治区医疗保障局医疗保障信息平台建设工程应用系统开发项目（ 包五：医保智能监管子系统</w:t>
      </w:r>
      <w:r>
        <w:rPr>
          <w:rFonts w:hint="eastAsia" w:hAnsi="宋体"/>
        </w:rPr>
        <w:t>）</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8"/>
        <w:adjustRightInd w:val="0"/>
        <w:snapToGrid w:val="0"/>
        <w:spacing w:after="0" w:line="293" w:lineRule="auto"/>
        <w:ind w:firstLine="480"/>
        <w:jc w:val="both"/>
        <w:rPr>
          <w:rFonts w:ascii="Times New Roman" w:hAnsi="Times New Roman"/>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医保智能监管子系统按照国家建设指南要求基于HSAF框架开发，为自治区医保业务智能监管提供支撑。</w:t>
      </w:r>
    </w:p>
    <w:p>
      <w:pPr>
        <w:pStyle w:val="18"/>
        <w:adjustRightInd w:val="0"/>
        <w:snapToGrid w:val="0"/>
        <w:spacing w:after="0" w:line="293" w:lineRule="auto"/>
        <w:ind w:firstLine="480"/>
        <w:jc w:val="both"/>
        <w:rPr>
          <w:rFonts w:ascii="宋体" w:hAnsi="宋体"/>
          <w:bCs/>
        </w:rPr>
      </w:pPr>
      <w:r>
        <w:rPr>
          <w:rFonts w:hint="eastAsia" w:ascii="宋体" w:hAnsi="宋体"/>
          <w:bCs/>
        </w:rPr>
        <w:t>（二）本项目采购预算</w:t>
      </w:r>
      <w:r>
        <w:rPr>
          <w:rFonts w:hint="eastAsia" w:hAnsi="宋体"/>
          <w:szCs w:val="24"/>
        </w:rPr>
        <w:t>为606.4万元。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最高限价，最高限价为606.4万元。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p>
      <w:pPr>
        <w:snapToGrid w:val="0"/>
        <w:spacing w:line="560" w:lineRule="exact"/>
        <w:ind w:firstLine="480" w:firstLineChars="200"/>
        <w:rPr>
          <w:rFonts w:ascii="仿宋_GB2312" w:hAnsi="宋体" w:cs="Arial"/>
          <w:sz w:val="24"/>
        </w:rPr>
      </w:pPr>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 xml:space="preserve">（二）   </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年9月2日上午11:30-12:00分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2020年9月2日上午12:00分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rPr>
        <w:t xml:space="preserve">2020年9月2日上午12:00分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spacing w:line="560" w:lineRule="exact"/>
        <w:ind w:firstLine="480" w:firstLineChars="200"/>
        <w:rPr>
          <w:rFonts w:hint="eastAsia"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widowControl/>
        <w:jc w:val="left"/>
        <w:rPr>
          <w:rFonts w:ascii="宋体" w:hAnsi="宋体" w:eastAsia="黑体" w:cs="Arial"/>
          <w:b/>
          <w:bCs/>
          <w:sz w:val="24"/>
          <w:szCs w:val="44"/>
        </w:rPr>
      </w:pPr>
      <w:r>
        <w:rPr>
          <w:rFonts w:ascii="宋体" w:hAnsi="宋体"/>
          <w:sz w:val="24"/>
        </w:rPr>
        <w:br w:type="page"/>
      </w:r>
      <w:bookmarkEnd w:id="2"/>
      <w:bookmarkEnd w:id="3"/>
      <w:bookmarkEnd w:id="4"/>
      <w:bookmarkEnd w:id="5"/>
      <w:bookmarkEnd w:id="6"/>
      <w:bookmarkStart w:id="9" w:name="_Toc120614211"/>
      <w:bookmarkStart w:id="10" w:name="_Toc534725597"/>
      <w:bookmarkStart w:id="11" w:name="_Toc534816626"/>
      <w:bookmarkStart w:id="12" w:name="_Toc479757207"/>
      <w:bookmarkStart w:id="13" w:name="_Toc120614221"/>
      <w:bookmarkStart w:id="14" w:name="_Toc20823314"/>
      <w:bookmarkStart w:id="15" w:name="_Toc513029242"/>
      <w:bookmarkStart w:id="16" w:name="_Toc16938558"/>
      <w:bookmarkStart w:id="17" w:name="_Toc494375079"/>
    </w:p>
    <w:p>
      <w:pPr>
        <w:pStyle w:val="3"/>
        <w:ind w:firstLine="2429" w:firstLineChars="550"/>
        <w:jc w:val="both"/>
        <w:rPr>
          <w:rFonts w:ascii="黑体"/>
          <w:b w:val="0"/>
          <w:bCs w:val="0"/>
        </w:rPr>
      </w:pPr>
      <w:r>
        <w:rPr>
          <w:rFonts w:hint="eastAsia" w:ascii="黑体"/>
        </w:rPr>
        <w:t xml:space="preserve">第二章  </w:t>
      </w:r>
      <w:bookmarkEnd w:id="9"/>
      <w:bookmarkStart w:id="18" w:name="_Toc513029202"/>
      <w:bookmarkStart w:id="19" w:name="_Toc16938518"/>
      <w:bookmarkStart w:id="20" w:name="_Toc120614213"/>
      <w:bookmarkStart w:id="21" w:name="_Toc20823274"/>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120614214"/>
      <w:bookmarkStart w:id="23" w:name="_Toc513029203"/>
      <w:bookmarkStart w:id="24" w:name="_Toc534725598"/>
      <w:bookmarkStart w:id="25" w:name="_Toc534816627"/>
      <w:bookmarkStart w:id="26" w:name="_Toc16938519"/>
      <w:bookmarkStart w:id="27" w:name="_Toc20823275"/>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16938520"/>
      <w:bookmarkStart w:id="31" w:name="_Toc513029204"/>
      <w:bookmarkStart w:id="32" w:name="_Toc20823276"/>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513029205"/>
      <w:bookmarkStart w:id="34" w:name="_Toc20823277"/>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513029206"/>
      <w:bookmarkStart w:id="37" w:name="_Toc16938522"/>
      <w:bookmarkStart w:id="38" w:name="_Toc20823278"/>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513029207"/>
      <w:bookmarkStart w:id="40" w:name="_Toc462564067"/>
      <w:bookmarkStart w:id="41" w:name="_Toc20823279"/>
      <w:bookmarkStart w:id="42" w:name="_Toc16938523"/>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513029209"/>
      <w:bookmarkStart w:id="44" w:name="_Toc20823281"/>
      <w:bookmarkStart w:id="45" w:name="_Toc16938525"/>
      <w:bookmarkStart w:id="46" w:name="_Toc534816628"/>
      <w:bookmarkStart w:id="47" w:name="_Toc534725599"/>
      <w:bookmarkStart w:id="48" w:name="_Toc120614215"/>
      <w:r>
        <w:rPr>
          <w:rFonts w:hint="eastAsia"/>
        </w:rPr>
        <w:t>二、招标文件</w:t>
      </w:r>
      <w:bookmarkEnd w:id="43"/>
      <w:bookmarkEnd w:id="44"/>
      <w:bookmarkEnd w:id="45"/>
      <w:bookmarkEnd w:id="46"/>
      <w:bookmarkEnd w:id="47"/>
      <w:bookmarkEnd w:id="48"/>
    </w:p>
    <w:p>
      <w:pPr>
        <w:pStyle w:val="5"/>
        <w:rPr>
          <w:b w:val="0"/>
        </w:rPr>
      </w:pPr>
      <w:bookmarkStart w:id="49" w:name="_Toc513029210"/>
      <w:bookmarkStart w:id="50" w:name="_Toc16938526"/>
      <w:bookmarkStart w:id="51" w:name="_Toc20823282"/>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16938527"/>
      <w:bookmarkStart w:id="53" w:name="_Toc20823283"/>
      <w:bookmarkStart w:id="54" w:name="_Toc513029211"/>
      <w:bookmarkStart w:id="55" w:name="_Toc462564070"/>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462564071"/>
      <w:bookmarkStart w:id="57" w:name="_Toc513029212"/>
      <w:bookmarkStart w:id="58" w:name="_Toc20823284"/>
      <w:bookmarkStart w:id="59" w:name="_Toc16938528"/>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534816629"/>
      <w:bookmarkStart w:id="61" w:name="_Toc120614216"/>
      <w:bookmarkStart w:id="62" w:name="_Toc16938529"/>
      <w:bookmarkStart w:id="63" w:name="_Toc534725600"/>
      <w:bookmarkStart w:id="64" w:name="_Toc20823285"/>
      <w:bookmarkStart w:id="65" w:name="_Toc513029213"/>
      <w:bookmarkStart w:id="66" w:name="_Toc462564072"/>
      <w:r>
        <w:rPr>
          <w:rFonts w:hint="eastAsia"/>
        </w:rPr>
        <w:t>三、投标文件的编制</w:t>
      </w:r>
      <w:bookmarkEnd w:id="60"/>
      <w:bookmarkEnd w:id="61"/>
      <w:bookmarkEnd w:id="62"/>
      <w:bookmarkEnd w:id="63"/>
      <w:bookmarkEnd w:id="64"/>
      <w:bookmarkEnd w:id="65"/>
      <w:bookmarkEnd w:id="66"/>
    </w:p>
    <w:p>
      <w:pPr>
        <w:pStyle w:val="5"/>
      </w:pPr>
      <w:bookmarkStart w:id="67" w:name="_Toc513029214"/>
      <w:bookmarkStart w:id="68" w:name="_Toc16938530"/>
      <w:bookmarkStart w:id="69" w:name="_Toc462564073"/>
      <w:bookmarkStart w:id="70" w:name="_Toc20823286"/>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16938531"/>
      <w:bookmarkStart w:id="72" w:name="_Toc513029215"/>
      <w:bookmarkStart w:id="73" w:name="_Toc462564074"/>
      <w:bookmarkStart w:id="74" w:name="_Toc20823287"/>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670360"/>
      <w:bookmarkEnd w:id="75"/>
      <w:bookmarkStart w:id="76" w:name="_Hlt26954838"/>
      <w:bookmarkEnd w:id="76"/>
      <w:bookmarkStart w:id="77" w:name="_Hlt26668975"/>
      <w:bookmarkEnd w:id="77"/>
      <w:bookmarkStart w:id="78" w:name="_Toc14577357"/>
      <w:bookmarkStart w:id="79" w:name="_Toc513029219"/>
      <w:bookmarkStart w:id="80" w:name="_Toc49090509"/>
      <w:bookmarkStart w:id="81" w:name="_Toc14577354"/>
      <w:bookmarkStart w:id="82" w:name="_Toc513029216"/>
      <w:bookmarkStart w:id="83" w:name="_Toc49090507"/>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668983"/>
      <w:bookmarkEnd w:id="88"/>
      <w:bookmarkStart w:id="89" w:name="_Hlt26954844"/>
      <w:bookmarkEnd w:id="89"/>
      <w:bookmarkStart w:id="90" w:name="_Hlt26670425"/>
      <w:bookmarkEnd w:id="90"/>
      <w:bookmarkStart w:id="91" w:name="_Hlt26954842"/>
      <w:bookmarkEnd w:id="91"/>
      <w:bookmarkStart w:id="92" w:name="_Hlt26670403"/>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846"/>
      <w:bookmarkEnd w:id="93"/>
      <w:bookmarkStart w:id="94" w:name="_Hlt26670482"/>
      <w:bookmarkEnd w:id="94"/>
      <w:bookmarkStart w:id="95" w:name="_Hlt26954731"/>
      <w:bookmarkEnd w:id="95"/>
      <w:bookmarkStart w:id="96" w:name="_Hlt26954848"/>
      <w:bookmarkEnd w:id="96"/>
      <w:bookmarkStart w:id="97" w:name="_Hlt26670486"/>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14577359"/>
      <w:bookmarkStart w:id="99" w:name="_Toc49090510"/>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850"/>
      <w:bookmarkEnd w:id="100"/>
      <w:bookmarkStart w:id="101" w:name="_Hlt26954734"/>
      <w:bookmarkEnd w:id="101"/>
      <w:bookmarkStart w:id="102" w:name="_Hlt26670489"/>
      <w:bookmarkEnd w:id="102"/>
      <w:bookmarkStart w:id="103" w:name="_Toc14577360"/>
      <w:bookmarkStart w:id="104" w:name="_Toc49090511"/>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852"/>
      <w:bookmarkEnd w:id="105"/>
      <w:bookmarkStart w:id="106" w:name="_Hlt26954739"/>
      <w:bookmarkEnd w:id="106"/>
      <w:bookmarkStart w:id="107" w:name="_Toc14577361"/>
      <w:bookmarkStart w:id="108" w:name="_Toc49090512"/>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20823296"/>
      <w:bookmarkStart w:id="110" w:name="_Toc513029224"/>
      <w:bookmarkStart w:id="111" w:name="_Toc534816630"/>
      <w:bookmarkStart w:id="112" w:name="_Toc534725601"/>
      <w:bookmarkStart w:id="113" w:name="_Toc16938540"/>
      <w:bookmarkStart w:id="114" w:name="_Toc120614217"/>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462564084"/>
      <w:bookmarkStart w:id="116" w:name="_Toc513029225"/>
      <w:bookmarkStart w:id="117" w:name="_Toc16938541"/>
      <w:bookmarkStart w:id="118" w:name="_Toc20823297"/>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20823298"/>
      <w:bookmarkStart w:id="120" w:name="_Toc513029226"/>
      <w:bookmarkStart w:id="121" w:name="_Toc16938542"/>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20823299"/>
      <w:bookmarkStart w:id="123" w:name="_Toc513029227"/>
      <w:bookmarkStart w:id="124" w:name="_Toc16938543"/>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16938544"/>
      <w:bookmarkStart w:id="126" w:name="_Toc513029228"/>
      <w:bookmarkStart w:id="127" w:name="_Toc20823300"/>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513029229"/>
      <w:bookmarkStart w:id="129" w:name="_Toc534725602"/>
      <w:bookmarkStart w:id="130" w:name="_Toc120614218"/>
      <w:bookmarkStart w:id="131" w:name="_Toc20823301"/>
      <w:bookmarkStart w:id="132" w:name="_Toc16938545"/>
      <w:bookmarkStart w:id="133" w:name="_Toc534816631"/>
      <w:r>
        <w:rPr>
          <w:rFonts w:hint="eastAsia"/>
        </w:rPr>
        <w:t>五、开标与评标</w:t>
      </w:r>
      <w:bookmarkEnd w:id="128"/>
      <w:bookmarkEnd w:id="129"/>
      <w:bookmarkEnd w:id="130"/>
      <w:bookmarkEnd w:id="131"/>
      <w:bookmarkEnd w:id="132"/>
      <w:bookmarkEnd w:id="133"/>
    </w:p>
    <w:p>
      <w:pPr>
        <w:pStyle w:val="5"/>
        <w:rPr>
          <w:b w:val="0"/>
        </w:rPr>
      </w:pPr>
      <w:bookmarkStart w:id="134" w:name="_Toc20823302"/>
      <w:bookmarkStart w:id="135" w:name="_Toc513029230"/>
      <w:bookmarkStart w:id="136" w:name="_Toc16938546"/>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20823303"/>
      <w:bookmarkStart w:id="138" w:name="_Toc513029231"/>
      <w:bookmarkStart w:id="139" w:name="_Toc16938547"/>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16938548"/>
      <w:bookmarkStart w:id="141" w:name="_Toc20823304"/>
      <w:bookmarkStart w:id="142" w:name="_Toc513029232"/>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16938549"/>
      <w:bookmarkStart w:id="144" w:name="_Toc513029233"/>
      <w:bookmarkStart w:id="145" w:name="_Toc20823305"/>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20823306"/>
      <w:bookmarkStart w:id="147" w:name="_Toc16938550"/>
      <w:bookmarkStart w:id="148" w:name="_Toc513029234"/>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20823307"/>
      <w:bookmarkStart w:id="150" w:name="_Toc16938551"/>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534816632"/>
      <w:bookmarkStart w:id="153" w:name="_Toc534725603"/>
      <w:bookmarkStart w:id="154" w:name="_Toc120614219"/>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16938554"/>
      <w:bookmarkStart w:id="157" w:name="_Toc20823310"/>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725604"/>
      <w:bookmarkStart w:id="160" w:name="_Toc534816633"/>
      <w:bookmarkStart w:id="161" w:name="_Toc120614220"/>
      <w:bookmarkStart w:id="162" w:name="_Toc513029236"/>
      <w:bookmarkStart w:id="163" w:name="_Toc20823308"/>
      <w:bookmarkStart w:id="164" w:name="_Toc16938552"/>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513029237"/>
      <w:bookmarkStart w:id="166" w:name="_Toc20823309"/>
      <w:bookmarkStart w:id="167" w:name="_Toc16938553"/>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725605"/>
      <w:bookmarkStart w:id="170" w:name="_Toc534816634"/>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r>
        <w:rPr>
          <w:rFonts w:ascii="宋体" w:hAnsi="宋体"/>
          <w:bCs/>
          <w:sz w:val="24"/>
          <w:szCs w:val="24"/>
        </w:rPr>
        <w:br w:type="page"/>
      </w:r>
    </w:p>
    <w:p>
      <w:pPr>
        <w:pStyle w:val="3"/>
      </w:pPr>
      <w:bookmarkStart w:id="171" w:name="_Toc534816635"/>
      <w:bookmarkStart w:id="172" w:name="_Toc534725606"/>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513029243"/>
      <w:bookmarkStart w:id="174" w:name="_Toc20823315"/>
      <w:bookmarkStart w:id="175" w:name="_Toc16938559"/>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Toc120614244"/>
      <w:bookmarkStart w:id="177" w:name="_Toc16938590"/>
      <w:bookmarkStart w:id="178" w:name="_Hlt16619350"/>
      <w:bookmarkStart w:id="179" w:name="_Toc20823346"/>
      <w:bookmarkStart w:id="180" w:name="_Toc479757211"/>
      <w:bookmarkStart w:id="181" w:name="_Toc462564139"/>
    </w:p>
    <w:p>
      <w:pPr>
        <w:spacing w:line="360" w:lineRule="auto"/>
        <w:ind w:left="569" w:right="371" w:hanging="10"/>
        <w:jc w:val="center"/>
        <w:rPr>
          <w:sz w:val="28"/>
        </w:rPr>
      </w:pPr>
    </w:p>
    <w:p>
      <w:pPr>
        <w:spacing w:line="360" w:lineRule="auto"/>
        <w:rPr>
          <w:szCs w:val="24"/>
        </w:rPr>
      </w:pPr>
      <w:bookmarkStart w:id="182" w:name="_Toc534725607"/>
      <w:bookmarkStart w:id="183" w:name="_Toc534816636"/>
      <w:bookmarkStart w:id="184" w:name="_Toc494375080"/>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bookmarkStart w:id="247" w:name="_GoBack"/>
      <w:bookmarkEnd w:id="247"/>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7"/>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725609"/>
      <w:bookmarkStart w:id="186" w:name="_Toc534816638"/>
      <w:bookmarkStart w:id="187" w:name="_Toc26554093"/>
      <w:bookmarkStart w:id="188" w:name="_Toc49090575"/>
    </w:p>
    <w:bookmarkEnd w:id="185"/>
    <w:bookmarkEnd w:id="186"/>
    <w:p>
      <w:pPr>
        <w:spacing w:before="100" w:beforeAutospacing="1" w:after="100" w:afterAutospacing="1" w:line="360" w:lineRule="auto"/>
        <w:jc w:val="center"/>
        <w:rPr>
          <w:rFonts w:ascii="Times New Roman" w:hAnsi="Times New Roman"/>
          <w:b/>
          <w:sz w:val="32"/>
        </w:rPr>
      </w:pPr>
      <w:bookmarkStart w:id="189" w:name="_Toc494375081"/>
      <w:bookmarkStart w:id="190" w:name="_Toc534725610"/>
      <w:bookmarkStart w:id="191" w:name="_Toc534816639"/>
      <w:bookmarkStart w:id="192" w:name="_Toc120614281"/>
      <w:r>
        <w:rPr>
          <w:rFonts w:hint="eastAsia" w:ascii="Times New Roman" w:hAnsi="Times New Roman"/>
          <w:b/>
          <w:sz w:val="32"/>
        </w:rPr>
        <w:t>包五：医保智能监管子系统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文件定义 </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医保智能监管子系统的技术需求。提供本项目建设所需的软件和服务的公司（以下称投标方）应向新疆维吾尔自治区医疗保障局（以下称招标方）就医保智能监管子系统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应用软件系统建设项目，含医保智能监管子系统功能开发和部署等。本文将给出招标方对医保智能监管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1"/>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 xml:space="preserve">（1）先进性原则。在技术上应采用业界先进、成熟的软件开发技术，面向 对象的设计方法,面向对象的开发工具。采用浏览器/服务器体系结构以支持网络 环境下的分布式应用。 </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 xml:space="preserve">（5）安全性和可靠性原则。符合国家法律法规要求；系统建设要采取全面 的安全防护措施，系统开发层面，避免安全漏洞和隐患，做好用户隐私的保护和防泄漏。 </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本文涉及新疆维吾尔自治区医疗保障信息平台应用系统层的医保智能监管子系统作为自治区医疗保障信息平台的组成部分。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医保智能监管子系统。</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软件功能需求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医保智能监管子系统</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医保智能监管子系统是通过信息化手段，实现医保业务事前、事中、事后全过程和医保基金的监管和预警，保障医保业务的合规使用，同时根据医疗保险制度，切实维护广大参保人的利益。通过自动辨认开具处方机构信息、开具处方医生信息、患者基本信息、疾病信息、处方药名称、处方药用量、处方用量单位等，同时为大数据应用、跨省异地就医零星报销、智能监管提供数据支撑。为了提高医保基金的有效利用率，防止骗保的情况发生，对医务人员诊疗行为、参保人员就医情况、医疗费用结算数据以及药品进销存数据的监控分析，发现异常信息：通过临床规则库与系统的深度整合，从病种诊断分组、临床路径、合理用药等规则库的角度深度定义临床监控规则及智能化数据分析，检出疑点数据，利用信息手段控制过度医疗行为；通过药品入库出库数据，分析出药品在销售过程中可能存在的串换等疑点问题；通过现场稽核对智能监管系统筛查出来的疑点问题进行确认。同时加强医疗保障药品（医用耗材）库、门特（慢）疾病库、医保执业医师库等基础信息库建设，对智能审核监控系统功能形成支撑，切实减少医保基金的不合理支出，保障医保基金的安全，最终实现构建精细分析、精确监控的医保管理模式，达到医保、医疗、医药三者和谐统一的目的。</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Times New Roman" w:hAnsi="Times New Roman"/>
          <w:sz w:val="24"/>
        </w:rPr>
      </w:pPr>
      <w:r>
        <w:rPr>
          <w:rFonts w:hint="eastAsia" w:ascii="Times New Roman" w:hAnsi="Times New Roman"/>
          <w:sz w:val="24"/>
        </w:rPr>
        <w:t>医保智能监管子系统架构如下：</w:t>
      </w:r>
    </w:p>
    <w:p>
      <w:pPr>
        <w:spacing w:line="360" w:lineRule="auto"/>
        <w:rPr>
          <w:rFonts w:ascii="Times New Roman" w:hAnsi="Times New Roman"/>
          <w:sz w:val="24"/>
        </w:rPr>
      </w:pPr>
      <w:r>
        <w:rPr>
          <w:rFonts w:ascii="Times New Roman" w:hAnsi="Times New Roman"/>
          <w:sz w:val="24"/>
        </w:rPr>
        <w:drawing>
          <wp:inline distT="0" distB="0" distL="0" distR="0">
            <wp:extent cx="5274310" cy="5147945"/>
            <wp:effectExtent l="0" t="0" r="254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5147945"/>
                    </a:xfrm>
                    <a:prstGeom prst="rect">
                      <a:avLst/>
                    </a:prstGeom>
                    <a:noFill/>
                    <a:ln>
                      <a:noFill/>
                    </a:ln>
                  </pic:spPr>
                </pic:pic>
              </a:graphicData>
            </a:graphic>
          </wp:inline>
        </w:drawing>
      </w:r>
    </w:p>
    <w:p>
      <w:pPr>
        <w:spacing w:line="360" w:lineRule="auto"/>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4.1</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医保智能监管子系统架构</w:t>
      </w:r>
    </w:p>
    <w:p>
      <w:pPr>
        <w:keepNext/>
        <w:keepLines/>
        <w:numPr>
          <w:ilvl w:val="2"/>
          <w:numId w:val="2"/>
        </w:numPr>
        <w:spacing w:line="360" w:lineRule="auto"/>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知识库管理</w:t>
      </w:r>
    </w:p>
    <w:p>
      <w:pPr>
        <w:spacing w:line="360" w:lineRule="auto"/>
        <w:ind w:firstLine="480" w:firstLineChars="200"/>
        <w:rPr>
          <w:rFonts w:ascii="Times New Roman" w:hAnsi="Times New Roman"/>
          <w:sz w:val="24"/>
        </w:rPr>
      </w:pPr>
      <w:r>
        <w:rPr>
          <w:rFonts w:hint="eastAsia" w:ascii="Times New Roman" w:hAnsi="Times New Roman"/>
          <w:sz w:val="24"/>
        </w:rPr>
        <w:t>医学知识库提供监控规则库需要的知识数据，监控规则库负责将医学知识库的中知识数据转换成规则引擎可执行的数据用来对就诊结算数据进行筛查。基础术语管理、诊疗知识库管理及规则知识配置等知识库维护，例如提供疾病资料库疾病名称、来源说明、临床表现、相关检查、诊断标准及并发症等知识的维护；同时提供所有知识库数据分类统计。</w:t>
      </w:r>
    </w:p>
    <w:p>
      <w:pPr>
        <w:spacing w:line="360" w:lineRule="auto"/>
        <w:ind w:firstLine="480" w:firstLineChars="200"/>
        <w:rPr>
          <w:rFonts w:ascii="Times New Roman" w:hAnsi="Times New Roman"/>
          <w:sz w:val="24"/>
        </w:rPr>
      </w:pPr>
      <w:r>
        <w:rPr>
          <w:rFonts w:hint="eastAsia" w:ascii="Times New Roman" w:hAnsi="Times New Roman"/>
          <w:sz w:val="24"/>
        </w:rPr>
        <w:t>知识库管理提供的功能包含但不限于医学管理类知识维护、临床诊断类知识维护、药品类知识维护、诊疗项目类知识维护、临床路径类知识维护以及知识调取和本地知识上报等。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规则库配置管理</w:t>
      </w:r>
    </w:p>
    <w:p>
      <w:pPr>
        <w:spacing w:line="360" w:lineRule="auto"/>
        <w:ind w:firstLine="480" w:firstLineChars="200"/>
        <w:rPr>
          <w:rFonts w:ascii="Times New Roman" w:hAnsi="Times New Roman"/>
          <w:sz w:val="24"/>
        </w:rPr>
      </w:pPr>
      <w:r>
        <w:rPr>
          <w:rFonts w:hint="eastAsia" w:ascii="Times New Roman" w:hAnsi="Times New Roman"/>
          <w:sz w:val="24"/>
        </w:rPr>
        <w:t>根据业务需求对规则实现查询、新增、修改、作废等配置操作，可以对规则参数以及阈值参数进行维护。系统规则库包括但不限于医保管理类规则、临床诊断类规则、药品类规则、诊疗项目类规则和临床路径类规则。</w:t>
      </w:r>
    </w:p>
    <w:p>
      <w:pPr>
        <w:spacing w:line="360" w:lineRule="auto"/>
        <w:ind w:firstLine="480" w:firstLineChars="200"/>
        <w:rPr>
          <w:rFonts w:ascii="Times New Roman" w:hAnsi="Times New Roman"/>
          <w:sz w:val="24"/>
        </w:rPr>
      </w:pPr>
      <w:r>
        <w:rPr>
          <w:rFonts w:hint="eastAsia" w:ascii="Times New Roman" w:hAnsi="Times New Roman"/>
          <w:sz w:val="24"/>
        </w:rPr>
        <w:t>规格库配置管理实现的功能包含但不限于规则参数配置、规则调取、本地规则上报、规则匹配、规则调度、目录本地化对照等。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规则引擎</w:t>
      </w:r>
    </w:p>
    <w:p>
      <w:pPr>
        <w:spacing w:line="360" w:lineRule="auto"/>
        <w:ind w:firstLine="480" w:firstLineChars="200"/>
        <w:rPr>
          <w:rFonts w:ascii="Times New Roman" w:hAnsi="Times New Roman"/>
          <w:sz w:val="24"/>
        </w:rPr>
      </w:pPr>
      <w:r>
        <w:rPr>
          <w:rFonts w:hint="eastAsia" w:ascii="Times New Roman" w:hAnsi="Times New Roman"/>
          <w:sz w:val="24"/>
        </w:rPr>
        <w:t>规则引擎用于对抓取的医保业务数据进行调度和分析。</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异常指标监管</w:t>
      </w:r>
    </w:p>
    <w:p>
      <w:pPr>
        <w:spacing w:line="360" w:lineRule="auto"/>
        <w:ind w:firstLine="480" w:firstLineChars="200"/>
        <w:rPr>
          <w:rFonts w:ascii="Times New Roman" w:hAnsi="Times New Roman"/>
          <w:sz w:val="24"/>
        </w:rPr>
      </w:pPr>
      <w:r>
        <w:rPr>
          <w:rFonts w:hint="eastAsia" w:ascii="Times New Roman" w:hAnsi="Times New Roman"/>
          <w:sz w:val="24"/>
        </w:rPr>
        <w:t>异常指标监管包含但不限于异常指标配置、异常指标监管、异常指标登记、大数据异常指标监管等功能。</w:t>
      </w:r>
    </w:p>
    <w:p>
      <w:pPr>
        <w:spacing w:line="360" w:lineRule="auto"/>
        <w:ind w:firstLine="480" w:firstLineChars="200"/>
        <w:rPr>
          <w:rFonts w:ascii="Times New Roman" w:hAnsi="Times New Roman"/>
          <w:sz w:val="24"/>
        </w:rPr>
      </w:pPr>
      <w:r>
        <w:rPr>
          <w:rFonts w:hint="eastAsia" w:ascii="Times New Roman" w:hAnsi="Times New Roman"/>
          <w:sz w:val="24"/>
        </w:rPr>
        <w:t>支持用户可以根据自身的业务需求与特点对已有预警指标进行启用、修改和删除，同时可以配置应用新建预警指标。</w:t>
      </w:r>
    </w:p>
    <w:p>
      <w:pPr>
        <w:spacing w:line="360" w:lineRule="auto"/>
        <w:ind w:firstLine="480" w:firstLineChars="200"/>
        <w:rPr>
          <w:rFonts w:ascii="Times New Roman" w:hAnsi="Times New Roman"/>
          <w:sz w:val="24"/>
        </w:rPr>
      </w:pPr>
      <w:r>
        <w:rPr>
          <w:rFonts w:hint="eastAsia" w:ascii="Times New Roman" w:hAnsi="Times New Roman"/>
          <w:sz w:val="24"/>
        </w:rPr>
        <w:t>支持对医保基金运行情况进行跟踪，自动检测医保基金运营指标、医保相关医疗指标以及自定义指标，结合数据分析挖掘结果，通过对比检出异常的指标并进行告警，以便用户及时发现定点医疗机构的违规医保基金使用行为。</w:t>
      </w:r>
    </w:p>
    <w:p>
      <w:pPr>
        <w:spacing w:line="360" w:lineRule="auto"/>
        <w:ind w:firstLine="480" w:firstLineChars="200"/>
        <w:rPr>
          <w:rFonts w:ascii="Times New Roman" w:hAnsi="Times New Roman"/>
          <w:sz w:val="24"/>
        </w:rPr>
      </w:pPr>
      <w:r>
        <w:rPr>
          <w:rFonts w:hint="eastAsia" w:ascii="Times New Roman" w:hAnsi="Times New Roman"/>
          <w:sz w:val="24"/>
        </w:rPr>
        <w:t>支持在将异常指标、违规医保基金使用检出后，用户可以利用问题登记功能，对异常、违规情况进行登记，以便进一步核查、处理，从而提升基金安全，优化基金使用效率。</w:t>
      </w:r>
    </w:p>
    <w:p>
      <w:pPr>
        <w:spacing w:line="360" w:lineRule="auto"/>
        <w:ind w:firstLine="480" w:firstLineChars="200"/>
        <w:rPr>
          <w:rFonts w:ascii="Times New Roman" w:hAnsi="Times New Roman"/>
          <w:sz w:val="24"/>
        </w:rPr>
      </w:pPr>
      <w:r>
        <w:rPr>
          <w:rFonts w:hint="eastAsia" w:ascii="Times New Roman" w:hAnsi="Times New Roman"/>
          <w:sz w:val="24"/>
        </w:rPr>
        <w:t>支持通过大数据技术对基金支出、临床诊疗的动态影响，医保监管对行为与费用的影响，挖掘某些指标“断崖式下降”的异常行为，并对其还原，有效的对医保指标进行深度智能化监管。</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审核管理</w:t>
      </w:r>
    </w:p>
    <w:p>
      <w:pPr>
        <w:spacing w:line="360" w:lineRule="auto"/>
        <w:ind w:firstLine="480" w:firstLineChars="200"/>
        <w:rPr>
          <w:rFonts w:ascii="Times New Roman" w:hAnsi="Times New Roman"/>
          <w:sz w:val="24"/>
        </w:rPr>
      </w:pPr>
      <w:r>
        <w:rPr>
          <w:rFonts w:hint="eastAsia" w:ascii="Times New Roman" w:hAnsi="Times New Roman"/>
          <w:sz w:val="24"/>
        </w:rPr>
        <w:t>根据医保智能规则，实现对医疗行为的事前、事中、事后监管，实现对医保违规行为的智能审核管理，通过对比就医数据，对医疗行为进行监管。审核管理功能包含但不限于身份识别监测管理、电子处方监管、事前/事中/事后监管审核、直接违规审核、专项数据检查、人工审核、专家双盲审核、本地监管结果上报、违规行为预警展示、移动监督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稽核管理</w:t>
      </w:r>
    </w:p>
    <w:p>
      <w:pPr>
        <w:spacing w:line="360" w:lineRule="auto"/>
        <w:ind w:firstLine="480" w:firstLineChars="200"/>
        <w:rPr>
          <w:rFonts w:ascii="Times New Roman" w:hAnsi="Times New Roman"/>
          <w:sz w:val="24"/>
        </w:rPr>
      </w:pPr>
      <w:r>
        <w:rPr>
          <w:rFonts w:hint="eastAsia" w:ascii="Times New Roman" w:hAnsi="Times New Roman"/>
          <w:sz w:val="24"/>
        </w:rPr>
        <w:t>实现对医保业务的稽核管理功能，包含但不限于协同审核、疑点管理、违规违法项目移送、医疗机构申诉管理、申诉审核和复议管理、投诉举报管理等。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支付方式监管</w:t>
      </w:r>
    </w:p>
    <w:p>
      <w:pPr>
        <w:spacing w:line="360" w:lineRule="auto"/>
        <w:ind w:firstLine="480" w:firstLineChars="200"/>
        <w:rPr>
          <w:rFonts w:ascii="Times New Roman" w:hAnsi="Times New Roman"/>
          <w:sz w:val="24"/>
        </w:rPr>
      </w:pPr>
      <w:r>
        <w:rPr>
          <w:rFonts w:hint="eastAsia" w:ascii="Times New Roman" w:hAnsi="Times New Roman"/>
          <w:sz w:val="24"/>
        </w:rPr>
        <w:t>实现对医保支付方式的监管，支持按病种/点数法监管、DRG付费监管等。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重点人群监管</w:t>
      </w:r>
    </w:p>
    <w:p>
      <w:pPr>
        <w:spacing w:line="360" w:lineRule="auto"/>
        <w:ind w:firstLine="480" w:firstLineChars="200"/>
        <w:rPr>
          <w:rFonts w:ascii="Times New Roman" w:hAnsi="Times New Roman"/>
          <w:sz w:val="24"/>
        </w:rPr>
      </w:pPr>
      <w:r>
        <w:rPr>
          <w:rFonts w:hint="eastAsia" w:ascii="Times New Roman" w:hAnsi="Times New Roman"/>
          <w:sz w:val="24"/>
        </w:rPr>
        <w:t>实现对慢病人群资格准入的监管，对慢病申请进行审核，对慢病人群的基金、风控和政策决策的管理等。</w:t>
      </w:r>
    </w:p>
    <w:p>
      <w:pPr>
        <w:spacing w:line="360" w:lineRule="auto"/>
        <w:ind w:firstLine="480" w:firstLineChars="200"/>
        <w:rPr>
          <w:rFonts w:ascii="Times New Roman" w:hAnsi="Times New Roman"/>
          <w:sz w:val="24"/>
        </w:rPr>
      </w:pPr>
      <w:r>
        <w:rPr>
          <w:rFonts w:hint="eastAsia" w:ascii="Times New Roman" w:hAnsi="Times New Roman"/>
          <w:sz w:val="24"/>
        </w:rPr>
        <w:t>实现对照护人群资格准入的监管，对照护资格申请进行审核，对照护人群的基金、风控和政策决策的管理等。</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统计管理</w:t>
      </w:r>
    </w:p>
    <w:p>
      <w:pPr>
        <w:spacing w:line="360" w:lineRule="auto"/>
        <w:ind w:firstLine="480" w:firstLineChars="200"/>
        <w:rPr>
          <w:rFonts w:ascii="Times New Roman" w:hAnsi="Times New Roman"/>
          <w:sz w:val="24"/>
        </w:rPr>
      </w:pPr>
      <w:r>
        <w:rPr>
          <w:rFonts w:hint="eastAsia" w:ascii="Times New Roman" w:hAnsi="Times New Roman"/>
          <w:sz w:val="24"/>
        </w:rPr>
        <w:t>收集和汇总全区数据，对智能监管结果、监管工作量、规则库建设情况等信息做统计分析，供省级决策辅助支持。包含但不限于对监管结果、规则库、知识库、工作量、参保患者、就诊医师、医疗机构等主题任务的统计和展示，为日常经办或政策决策提供数据支持。</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药品进销存管理</w:t>
      </w:r>
    </w:p>
    <w:p>
      <w:pPr>
        <w:spacing w:line="360" w:lineRule="auto"/>
        <w:ind w:firstLine="480" w:firstLineChars="200"/>
        <w:rPr>
          <w:rFonts w:ascii="Times New Roman" w:hAnsi="Times New Roman"/>
          <w:sz w:val="24"/>
        </w:rPr>
      </w:pPr>
      <w:r>
        <w:rPr>
          <w:rFonts w:hint="eastAsia" w:ascii="Times New Roman" w:hAnsi="Times New Roman"/>
          <w:sz w:val="24"/>
        </w:rPr>
        <w:t>为监管单位提供对医药机构的药品和医用耗材入库、出库、库存等数据的进销存统计功能，便于监管单位分析出药品在销售过程中可能存在的串换、盗刷、套现等疑点问题。</w:t>
      </w:r>
    </w:p>
    <w:p>
      <w:pPr>
        <w:spacing w:line="360" w:lineRule="auto"/>
        <w:ind w:firstLine="480" w:firstLineChars="200"/>
        <w:rPr>
          <w:rFonts w:ascii="Times New Roman" w:hAnsi="Times New Roman"/>
          <w:sz w:val="24"/>
        </w:rPr>
      </w:pPr>
      <w:r>
        <w:rPr>
          <w:rFonts w:hint="eastAsia" w:ascii="Times New Roman" w:hAnsi="Times New Roman"/>
          <w:sz w:val="24"/>
        </w:rPr>
        <w:t>药品进销存管理包含入库查询、出库查询、库存查询、销售查询、比对分析等功能。</w:t>
      </w:r>
    </w:p>
    <w:p>
      <w:pPr>
        <w:keepNext/>
        <w:keepLines/>
        <w:numPr>
          <w:ilvl w:val="3"/>
          <w:numId w:val="2"/>
        </w:numPr>
        <w:spacing w:line="360" w:lineRule="auto"/>
        <w:outlineLvl w:val="3"/>
        <w:rPr>
          <w:rFonts w:ascii="Times New Roman" w:hAnsi="Times New Roman"/>
          <w:b/>
          <w:bCs/>
          <w:sz w:val="24"/>
          <w:szCs w:val="28"/>
        </w:rPr>
      </w:pPr>
      <w:r>
        <w:rPr>
          <w:rFonts w:hint="eastAsia" w:ascii="Times New Roman" w:hAnsi="Times New Roman"/>
          <w:b/>
          <w:bCs/>
          <w:sz w:val="24"/>
          <w:szCs w:val="28"/>
        </w:rPr>
        <w:t>接口管理</w:t>
      </w:r>
    </w:p>
    <w:p>
      <w:pPr>
        <w:spacing w:line="360" w:lineRule="auto"/>
        <w:ind w:firstLine="480" w:firstLineChars="200"/>
        <w:rPr>
          <w:rFonts w:ascii="Times New Roman" w:hAnsi="Times New Roman"/>
          <w:sz w:val="24"/>
        </w:rPr>
      </w:pPr>
      <w:r>
        <w:rPr>
          <w:rFonts w:hint="eastAsia" w:ascii="Times New Roman" w:hAnsi="Times New Roman"/>
          <w:sz w:val="24"/>
        </w:rPr>
        <w:t>实现对生物识别引擎的调用。</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项目技术需求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2" w:firstLineChars="200"/>
        <w:rPr>
          <w:rFonts w:ascii="Times New Roman" w:hAnsi="Times New Roman"/>
          <w:color w:val="000000"/>
          <w:sz w:val="24"/>
        </w:rPr>
      </w:pPr>
      <w:r>
        <w:rPr>
          <w:rFonts w:hint="eastAsia" w:ascii="Times New Roman" w:hAnsi="Times New Roman"/>
          <w:b/>
          <w:bCs/>
          <w:color w:val="000000"/>
          <w:sz w:val="24"/>
        </w:rPr>
        <w:t>医保智能监管子系统</w:t>
      </w:r>
      <w:r>
        <w:rPr>
          <w:rFonts w:hint="eastAsia" w:ascii="Times New Roman" w:hAnsi="Times New Roman"/>
          <w:color w:val="000000"/>
          <w:sz w:val="24"/>
        </w:rPr>
        <w:t>支持访问的总用户数不低于</w:t>
      </w:r>
      <w:r>
        <w:rPr>
          <w:rFonts w:ascii="Times New Roman" w:hAnsi="Times New Roman"/>
          <w:color w:val="000000"/>
          <w:sz w:val="24"/>
        </w:rPr>
        <w:t>50</w:t>
      </w:r>
      <w:r>
        <w:rPr>
          <w:rFonts w:hint="eastAsia" w:ascii="Times New Roman" w:hAnsi="Times New Roman"/>
          <w:color w:val="000000"/>
          <w:sz w:val="24"/>
        </w:rPr>
        <w:t>00人，最大支持在线用户数不低于1500人。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2" w:firstLineChars="200"/>
        <w:rPr>
          <w:rFonts w:ascii="Times New Roman" w:hAnsi="Times New Roman"/>
          <w:color w:val="000000"/>
          <w:sz w:val="24"/>
        </w:rPr>
      </w:pPr>
      <w:r>
        <w:rPr>
          <w:rFonts w:hint="eastAsia" w:ascii="Times New Roman" w:hAnsi="Times New Roman"/>
          <w:b/>
          <w:bCs/>
          <w:color w:val="000000"/>
          <w:sz w:val="24"/>
        </w:rPr>
        <w:t>医保智能监管子系统</w:t>
      </w:r>
      <w:r>
        <w:rPr>
          <w:rFonts w:hint="eastAsia" w:ascii="Times New Roman" w:hAnsi="Times New Roman"/>
          <w:color w:val="000000"/>
          <w:sz w:val="24"/>
        </w:rPr>
        <w:t>支持的并发业务量大于10笔/秒；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 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 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 xml:space="preserve">3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 xml:space="preserve">1 </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 xml:space="preserve">3 </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项目服务要求</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投标方应提供医保智能监管子系统相关功能模块的集成工作，包括相关软件部署，系统软件上线运行等。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投标方应配合软件集成商完成与其他系统的互联、测试等。</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10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 6人。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投标方驻场参与人员数量：针对本标包业务系统：总数不少于3人。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w:t>
      </w:r>
    </w:p>
    <w:p>
      <w:pPr>
        <w:spacing w:line="360" w:lineRule="auto"/>
        <w:ind w:firstLine="480" w:firstLineChars="200"/>
        <w:rPr>
          <w:rFonts w:ascii="Times New Roman" w:hAnsi="Times New Roman"/>
          <w:sz w:val="24"/>
        </w:rPr>
      </w:pPr>
      <w:r>
        <w:rPr>
          <w:rFonts w:hint="eastAsia" w:ascii="Times New Roman" w:hAnsi="Times New Roman"/>
          <w:sz w:val="24"/>
        </w:rPr>
        <w:t>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本项目服务期内需提供至少3名本项目专职长期驻场工程师，驻场工程师工作量不额外计费，驻场工程师具备本系统进行修改、调整能力，并按客户要求调整本系统（包括驻场工程师工作量内的新需求）。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 耐性和综合素质。</w:t>
      </w:r>
    </w:p>
    <w:p>
      <w:pPr>
        <w:spacing w:line="360" w:lineRule="auto"/>
        <w:ind w:firstLine="480" w:firstLineChars="200"/>
        <w:rPr>
          <w:rFonts w:ascii="Times New Roman" w:hAnsi="Times New Roman"/>
          <w:sz w:val="24"/>
        </w:rPr>
      </w:pPr>
      <w:r>
        <w:rPr>
          <w:rFonts w:hint="eastAsia" w:ascii="Times New Roman" w:hAnsi="Times New Roman"/>
          <w:sz w:val="24"/>
        </w:rPr>
        <w:t>（7）系统优化服务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（8）保密内容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（9）源代码和产权要求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spacing w:line="360" w:lineRule="auto"/>
        <w:ind w:firstLine="480" w:firstLineChars="200"/>
        <w:rPr>
          <w:rFonts w:ascii="Times New Roman" w:hAnsi="Times New Roman"/>
          <w:sz w:val="24"/>
        </w:rPr>
      </w:pPr>
      <w:r>
        <w:rPr>
          <w:rFonts w:hint="eastAsia" w:ascii="Times New Roman" w:hAnsi="Times New Roman"/>
          <w:sz w:val="24"/>
        </w:rPr>
        <w:t>投标人须配合医保业务电子档案系统供应商完成电子档案系统与本标包业务系统接口对接。</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beforeLines="100" w:afterLines="100"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 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beforeLines="100" w:afterLines="100" w:line="240" w:lineRule="atLeast"/>
        <w:ind w:firstLine="132"/>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pStyle w:val="3"/>
      </w:pPr>
      <w:r>
        <w:rPr>
          <w:rFonts w:hint="eastAsia"/>
        </w:rPr>
        <w:t>第五章  评标方法与评标标准</w:t>
      </w:r>
      <w:bookmarkEnd w:id="189"/>
      <w:bookmarkEnd w:id="190"/>
      <w:bookmarkEnd w:id="191"/>
    </w:p>
    <w:p/>
    <w:p>
      <w:pPr>
        <w:pStyle w:val="16"/>
        <w:ind w:firstLine="0"/>
        <w:rPr>
          <w:rFonts w:ascii="宋体" w:hAnsi="宋体"/>
          <w:b/>
          <w:sz w:val="36"/>
          <w:szCs w:val="36"/>
        </w:rPr>
      </w:pPr>
      <w:r>
        <w:rPr>
          <w:rFonts w:hAnsi="宋体"/>
          <w:b/>
        </w:rPr>
        <w:t>一、</w:t>
      </w:r>
      <w:r>
        <w:rPr>
          <w:rFonts w:hint="eastAsia" w:hAnsi="宋体"/>
          <w:b/>
        </w:rPr>
        <w:t>评标方法与定标原则</w:t>
      </w:r>
    </w:p>
    <w:p>
      <w:pPr>
        <w:pStyle w:val="16"/>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6"/>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6"/>
        <w:ind w:firstLine="424" w:firstLineChars="177"/>
        <w:rPr>
          <w:rFonts w:cs="Arial"/>
        </w:rPr>
      </w:pPr>
    </w:p>
    <w:p>
      <w:pPr>
        <w:pStyle w:val="16"/>
        <w:numPr>
          <w:ilvl w:val="0"/>
          <w:numId w:val="4"/>
        </w:numPr>
        <w:ind w:firstLine="0"/>
        <w:rPr>
          <w:rFonts w:hAnsi="宋体"/>
          <w:b/>
        </w:rPr>
      </w:pPr>
      <w:r>
        <w:rPr>
          <w:rFonts w:hint="eastAsia" w:hAnsi="宋体"/>
          <w:b/>
        </w:rPr>
        <w:t>评标标准</w:t>
      </w:r>
    </w:p>
    <w:tbl>
      <w:tblPr>
        <w:tblStyle w:val="13"/>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bookmarkStart w:id="193" w:name="_Toc534725611"/>
            <w:bookmarkStart w:id="194" w:name="_Toc494375082"/>
            <w:bookmarkStart w:id="195" w:name="_Toc534816640"/>
            <w:r>
              <w:rPr>
                <w:rFonts w:hint="eastAsia" w:ascii="宋体" w:hAnsi="宋体"/>
              </w:rPr>
              <w:t>项目</w:t>
            </w:r>
          </w:p>
        </w:tc>
        <w:tc>
          <w:tcPr>
            <w:tcW w:w="7644"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rPr>
              <w:t>投标</w:t>
            </w:r>
            <w:r>
              <w:rPr>
                <w:rFonts w:hint="eastAsia" w:ascii="宋体" w:hAnsi="宋体"/>
                <w:b/>
                <w:bCs/>
              </w:rPr>
              <w:t>报价</w:t>
            </w:r>
          </w:p>
          <w:p>
            <w:pPr>
              <w:jc w:val="center"/>
              <w:rPr>
                <w:rFonts w:ascii="宋体" w:hAnsi="宋体"/>
                <w:b/>
                <w:bCs/>
              </w:rPr>
            </w:pPr>
            <w:r>
              <w:rPr>
                <w:rFonts w:hint="eastAsia" w:ascii="宋体" w:hAnsi="宋体"/>
                <w:b/>
                <w:bCs/>
              </w:rPr>
              <w:t>（10分）</w:t>
            </w: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价格分统一采用低价优先法计算，即满足招标文件要求且投标价格最低的投标报价为评标基准价，其价格分为满分。其他投标人的价格分统一按照下列公式计算：</w:t>
            </w:r>
          </w:p>
          <w:p>
            <w:pPr>
              <w:rPr>
                <w:rFonts w:ascii="宋体" w:hAnsi="宋体"/>
              </w:rPr>
            </w:pPr>
            <w:r>
              <w:rPr>
                <w:rFonts w:hint="eastAsia" w:ascii="宋体" w:hAnsi="宋体"/>
              </w:rPr>
              <w:t xml:space="preserve">投标报价得分=(评标基准价／投标报价)×10分 </w:t>
            </w:r>
          </w:p>
          <w:p>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ascii="宋体" w:hAnsi="宋体"/>
                <w:b/>
              </w:rPr>
              <w:t>履约能力</w:t>
            </w:r>
          </w:p>
          <w:p>
            <w:pPr>
              <w:jc w:val="center"/>
              <w:rPr>
                <w:rFonts w:ascii="宋体" w:hAnsi="宋体"/>
                <w:b/>
              </w:rPr>
            </w:pPr>
            <w:r>
              <w:rPr>
                <w:rFonts w:hint="eastAsia" w:ascii="宋体" w:hAnsi="宋体"/>
                <w:b/>
              </w:rPr>
              <w:t>（20分）</w:t>
            </w: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具有“智能审核知识库”相关软件著作权登记证书的得1分；</w:t>
            </w:r>
          </w:p>
          <w:p>
            <w:pPr>
              <w:rPr>
                <w:rFonts w:ascii="宋体" w:hAnsi="宋体"/>
              </w:rPr>
            </w:pPr>
            <w:r>
              <w:rPr>
                <w:rFonts w:hint="eastAsia" w:ascii="宋体" w:hAnsi="宋体"/>
              </w:rPr>
              <w:t>具有“医疗费用事后审核”相关软件著作权登记证书的得1分；</w:t>
            </w:r>
          </w:p>
          <w:p>
            <w:pPr>
              <w:rPr>
                <w:rFonts w:ascii="宋体" w:hAnsi="宋体"/>
              </w:rPr>
            </w:pPr>
            <w:r>
              <w:rPr>
                <w:rFonts w:hint="eastAsia" w:ascii="宋体" w:hAnsi="宋体"/>
              </w:rPr>
              <w:t>具有“医疗费用实时监控”相关软件著作权登记证书的得1分；</w:t>
            </w:r>
          </w:p>
          <w:p>
            <w:pPr>
              <w:rPr>
                <w:rFonts w:ascii="宋体" w:hAnsi="宋体"/>
              </w:rPr>
            </w:pPr>
            <w:r>
              <w:rPr>
                <w:rFonts w:hint="eastAsia" w:ascii="宋体" w:hAnsi="宋体"/>
              </w:rPr>
              <w:t>具有“医疗身份智能识别”相关软件著作权登记证书的得1分；</w:t>
            </w:r>
          </w:p>
          <w:p>
            <w:pPr>
              <w:rPr>
                <w:rFonts w:ascii="宋体" w:hAnsi="宋体"/>
              </w:rPr>
            </w:pPr>
            <w:r>
              <w:rPr>
                <w:rFonts w:hint="eastAsia" w:ascii="宋体" w:hAnsi="宋体"/>
              </w:rPr>
              <w:t>具有“医疗服务监管”相关软件著作权登记证书的得1分</w:t>
            </w:r>
          </w:p>
          <w:p>
            <w:pPr>
              <w:rPr>
                <w:rFonts w:ascii="宋体" w:hAnsi="宋体"/>
              </w:rPr>
            </w:pPr>
            <w:r>
              <w:rPr>
                <w:rFonts w:hint="eastAsia" w:ascii="宋体" w:hAnsi="宋体"/>
              </w:rPr>
              <w:t>具有“数据异常检测”相关软件著作权登记证书的得1分</w:t>
            </w:r>
          </w:p>
          <w:p>
            <w:pPr>
              <w:rPr>
                <w:rFonts w:ascii="宋体" w:hAnsi="宋体"/>
              </w:rPr>
            </w:pPr>
            <w:r>
              <w:rPr>
                <w:rFonts w:hint="eastAsia" w:ascii="宋体" w:hAnsi="宋体"/>
              </w:rPr>
              <w:t>满分6分。</w:t>
            </w:r>
          </w:p>
          <w:p>
            <w:pPr>
              <w:rPr>
                <w:rFonts w:ascii="宋体" w:hAnsi="宋体"/>
              </w:rPr>
            </w:pPr>
            <w:r>
              <w:rPr>
                <w:rFonts w:hint="eastAsia" w:ascii="宋体" w:hAnsi="宋体"/>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投标人具有CMMI5级认证证书得3分，具有CMMI4级认证证书得2分，具有CMMI3级及以下认证证书得1分。（提供证书复印件并盖章</w:t>
            </w:r>
            <w:r>
              <w:rPr>
                <w:rFonts w:hint="eastAsia" w:ascii="宋体" w:hAnsi="宋体" w:cs="宋体"/>
                <w:kern w:val="0"/>
              </w:rPr>
              <w:t>、原件备查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7644" w:type="dxa"/>
            <w:tcBorders>
              <w:top w:val="single" w:color="auto" w:sz="4" w:space="0"/>
              <w:left w:val="single" w:color="auto" w:sz="4" w:space="0"/>
              <w:right w:val="single" w:color="auto" w:sz="4" w:space="0"/>
            </w:tcBorders>
            <w:vAlign w:val="center"/>
          </w:tcPr>
          <w:p>
            <w:pPr>
              <w:rPr>
                <w:rFonts w:ascii="宋体" w:hAnsi="宋体"/>
              </w:rPr>
            </w:pPr>
            <w:r>
              <w:rPr>
                <w:rFonts w:hint="eastAsia" w:ascii="宋体" w:hAnsi="宋体"/>
              </w:rPr>
              <w:t>投标人获得ITSS信息技术服务运行维护标准贰级及以上等级的得2分，低于贰级（不含）的1分，没有不得分，满分2分。（提供证书复印件并盖章</w:t>
            </w:r>
            <w:r>
              <w:rPr>
                <w:rFonts w:hint="eastAsia" w:ascii="宋体" w:hAnsi="宋体" w:cs="宋体"/>
                <w:kern w:val="0"/>
              </w:rPr>
              <w:t>、原件备查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投标人同时具有下述任意两项（含两项）以上资质证书的得2分，只有一项的得1分，没有不得分（提供证书复印件并加盖公章、原件备查）：</w:t>
            </w:r>
          </w:p>
          <w:p>
            <w:pPr>
              <w:rPr>
                <w:rFonts w:ascii="宋体" w:hAnsi="宋体"/>
              </w:rPr>
            </w:pPr>
            <w:r>
              <w:rPr>
                <w:rFonts w:hint="eastAsia" w:ascii="宋体" w:hAnsi="宋体"/>
              </w:rPr>
              <w:t>（1）具有中国网络安全审查技术与认证中心颁发的信息系统安全运维服务资质；</w:t>
            </w:r>
          </w:p>
          <w:p>
            <w:pPr>
              <w:rPr>
                <w:rFonts w:ascii="宋体" w:hAnsi="宋体"/>
              </w:rPr>
            </w:pPr>
            <w:r>
              <w:rPr>
                <w:rFonts w:hint="eastAsia" w:ascii="宋体" w:hAnsi="宋体"/>
              </w:rPr>
              <w:t>（2）具有中国网络安全审查技术与认证中心颁发的信息系统安全集成服务资质；</w:t>
            </w:r>
          </w:p>
          <w:p>
            <w:pPr>
              <w:rPr>
                <w:rFonts w:ascii="宋体" w:hAnsi="宋体"/>
              </w:rPr>
            </w:pPr>
            <w:r>
              <w:rPr>
                <w:rFonts w:hint="eastAsia" w:ascii="宋体" w:hAnsi="宋体"/>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rPr>
            </w:pP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自2019年1月1日起，投标人具有省级及以上医保行业中监管类信息系统应用软件开发项目案例或关于飞行检查、监管类专项服务案例（合同或协议中须包含“监管”、“飞行检查”、“欺诈骗保”类服务关键字）的，每提供一个项目案例得1分，满分 7分，未提供不得分。（提供中标通知书及签订的合同复印件并加盖公章）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bCs/>
              </w:rPr>
              <w:t>技术部分</w:t>
            </w:r>
          </w:p>
          <w:p>
            <w:pPr>
              <w:jc w:val="center"/>
              <w:rPr>
                <w:rFonts w:ascii="宋体" w:hAnsi="宋体"/>
                <w:b/>
                <w:bCs/>
              </w:rPr>
            </w:pPr>
            <w:r>
              <w:rPr>
                <w:rFonts w:hint="eastAsia" w:ascii="宋体" w:hAnsi="宋体"/>
                <w:b/>
                <w:bCs/>
              </w:rPr>
              <w:t>（60分）</w:t>
            </w:r>
          </w:p>
          <w:p>
            <w:pPr>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b/>
              </w:rPr>
              <w:t>服务内容响应：</w:t>
            </w:r>
            <w:r>
              <w:rPr>
                <w:rFonts w:hint="eastAsia" w:ascii="宋体" w:hAnsi="宋体"/>
              </w:rPr>
              <w:t>对招标文件提出的功能需求、服务内容等逐条响应，完全响应的得9分；每有一项负偏离扣1分，扣完为止。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项目理解及需求分析：</w:t>
            </w:r>
          </w:p>
          <w:p>
            <w:r>
              <w:rPr>
                <w:rFonts w:hint="eastAsia"/>
              </w:rPr>
              <w:t>（</w:t>
            </w:r>
            <w:r>
              <w:t>1</w:t>
            </w:r>
            <w:r>
              <w:rPr>
                <w:rFonts w:hint="eastAsia"/>
              </w:rPr>
              <w:t>）</w:t>
            </w:r>
            <w:r>
              <w:rPr>
                <w:rFonts w:hint="eastAsia" w:ascii="宋体" w:hAnsi="宋体"/>
              </w:rPr>
              <w:t>对国家和新疆维吾尔自治区有关对基金监管文件和要求文件以及项目建设重点难点有深刻的理解和分析，好的得3分，较好的得2分，一般的得1分，差的或不提供的不得分。</w:t>
            </w:r>
          </w:p>
          <w:p>
            <w:r>
              <w:rPr>
                <w:rFonts w:hint="eastAsia"/>
              </w:rPr>
              <w:t>（</w:t>
            </w:r>
            <w:r>
              <w:t>2</w:t>
            </w:r>
            <w:r>
              <w:rPr>
                <w:rFonts w:hint="eastAsia"/>
              </w:rPr>
              <w:t>）对本项目背景、业务现状、项目需求、建设难点、总体目标等</w:t>
            </w:r>
            <w:r>
              <w:rPr>
                <w:rFonts w:hint="eastAsia" w:ascii="宋体" w:hAnsi="宋体"/>
              </w:rPr>
              <w:t>需求有充分的理解和分析，就项目服务过程中可能出现的疑难点问题制定相应的措施和解决办法, 好的得3分，较好的得2分，一般的得1分，差的或不提供的不得分。</w:t>
            </w:r>
          </w:p>
          <w:p>
            <w:r>
              <w:rPr>
                <w:rFonts w:hint="eastAsia" w:ascii="宋体" w:hAnsi="宋体"/>
              </w:rPr>
              <w:t>（3）需求调研：针对本项目，对新疆维吾尔自治区医疗保障信息化现状符合本标段的内容提供详细的调研报告，好的得3分，较好的得2分，一般的得1分，差的或不提供的不得分。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系统功能设计：</w:t>
            </w:r>
          </w:p>
          <w:p>
            <w:r>
              <w:rPr>
                <w:rFonts w:hint="eastAsia"/>
              </w:rPr>
              <w:t>（1）应用功能设计：结合招标文件业务需求对系统业务功能点进行阐述，并提供相关系统功能的流程图和系统截图，</w:t>
            </w:r>
            <w:r>
              <w:rPr>
                <w:rFonts w:hint="eastAsia" w:ascii="宋体" w:hAnsi="宋体"/>
              </w:rPr>
              <w:t>好的得3分，较好的得2分，一般的得1分，差的或不提供的不得分。</w:t>
            </w:r>
          </w:p>
          <w:p>
            <w:r>
              <w:rPr>
                <w:rFonts w:hint="eastAsia"/>
              </w:rPr>
              <w:t>（2）与国家局医疗保障智能监管子系统对接设计：提供与国家局医疗保障智能监管子系统对接方案，方案要求描述详细、可行。</w:t>
            </w:r>
            <w:r>
              <w:rPr>
                <w:rFonts w:hint="eastAsia" w:ascii="宋体" w:hAnsi="宋体"/>
              </w:rPr>
              <w:t>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b/>
              </w:rPr>
              <w:t>项目实施与项目管理：</w:t>
            </w:r>
            <w:r>
              <w:rPr>
                <w:rFonts w:hint="eastAsia"/>
              </w:rPr>
              <w:t>结合本项目特点制定项目实施计划，提供项目管理方案，提供风险控制方案，并提出本项目实施的主要风险以及降低风险的策略与措施，提供测试与验收方案，对应用系统功能及性能的测试进行描述，</w:t>
            </w:r>
            <w:r>
              <w:rPr>
                <w:rFonts w:hint="eastAsia" w:ascii="宋体" w:hAnsi="宋体"/>
              </w:rPr>
              <w:t>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b/>
              </w:rPr>
              <w:t>安全方案：</w:t>
            </w:r>
            <w:r>
              <w:rPr>
                <w:rFonts w:hint="eastAsia" w:ascii="宋体" w:hAnsi="宋体"/>
              </w:rPr>
              <w:t>投标人应提出的安全设计方案必须包括应用安全、数据安全、运行保障安全、应急预案设计等内容，好的得3分，较好的得2分，一般的得1分，差的或不提供的不得分。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5"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pPr>
              <w:rPr>
                <w:b/>
              </w:rPr>
            </w:pPr>
            <w:r>
              <w:rPr>
                <w:rFonts w:hint="eastAsia"/>
                <w:b/>
              </w:rPr>
              <w:t>项目团队配置：</w:t>
            </w:r>
          </w:p>
          <w:p>
            <w:pPr>
              <w:rPr>
                <w:rFonts w:ascii="宋体" w:hAnsi="宋体"/>
              </w:rPr>
            </w:pPr>
            <w:r>
              <w:rPr>
                <w:rFonts w:hint="eastAsia" w:ascii="宋体" w:hAnsi="宋体"/>
              </w:rPr>
              <w:t>（1）拟派服务团队中具有医学中级及以上职称的，得1分；具有药学中级及以上职称的，得1分；具有会计从业资格证的，得1分。满分3分。</w:t>
            </w:r>
          </w:p>
          <w:p>
            <w:pPr>
              <w:rPr>
                <w:b/>
              </w:rPr>
            </w:pPr>
            <w:r>
              <w:rPr>
                <w:rFonts w:hint="eastAsia" w:ascii="宋体" w:hAnsi="宋体" w:cs="宋体"/>
              </w:rPr>
              <w:t>（2）</w:t>
            </w:r>
            <w:r>
              <w:rPr>
                <w:rFonts w:hint="eastAsia" w:ascii="宋体" w:hAnsi="宋体"/>
              </w:rPr>
              <w:t>拟派服务团队中</w:t>
            </w:r>
            <w:r>
              <w:rPr>
                <w:rFonts w:hint="eastAsia" w:ascii="宋体" w:hAnsi="宋体" w:cs="宋体"/>
              </w:rPr>
              <w:t>主要技术成员具有工信部及其下属机构颁发的IT服务项目经理证书得1分；主要技术成员具有人社部门颁发信息系统项目管理师证书得2分；主要技术成员具有人社部门颁发软件设计师证书得2分，没有不得分；主要技术成员</w:t>
            </w:r>
            <w:r>
              <w:rPr>
                <w:rFonts w:hint="eastAsia"/>
              </w:rPr>
              <w:t>具备医疗保险分析师（高级）证书得</w:t>
            </w:r>
            <w:r>
              <w:t>2</w:t>
            </w:r>
            <w:r>
              <w:rPr>
                <w:rFonts w:hint="eastAsia"/>
              </w:rPr>
              <w:t>分，没有不得分。满分7分</w:t>
            </w:r>
            <w:r>
              <w:t>。</w:t>
            </w:r>
          </w:p>
          <w:p>
            <w:r>
              <w:rPr>
                <w:rFonts w:hint="eastAsia" w:ascii="宋体" w:hAnsi="宋体"/>
              </w:rPr>
              <w:t>注：团队中所有人员提供相关个人简历、相关资格证书复印件、社保机构出具的2019年6月至今投标人为其缴纳的连续6个月的社保证明，同一人员拥有多个证件的不重复计算。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b/>
                <w:bCs/>
              </w:rPr>
            </w:pP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b/>
              </w:rPr>
              <w:t>现场演示：由投标人自带演示系统及相关设备，对本项目主要功能进行现场演示，演示功能需满足以下所列内容。如果不参加现场演示，该项为零分。使用demo、静态页面、PPT、录像或截图的最高得5分。满分20分。各投标人的演示时间控制在20分钟之内。</w:t>
            </w:r>
          </w:p>
          <w:p>
            <w:pPr>
              <w:rPr>
                <w:rFonts w:ascii="宋体" w:hAnsi="宋体" w:cs="宋体"/>
                <w:kern w:val="0"/>
              </w:rPr>
            </w:pPr>
            <w:r>
              <w:rPr>
                <w:rFonts w:hint="eastAsia" w:ascii="宋体" w:hAnsi="宋体" w:cs="宋体"/>
                <w:kern w:val="0"/>
              </w:rPr>
              <w:t>1、</w:t>
            </w:r>
            <w:r>
              <w:rPr>
                <w:rFonts w:hint="eastAsia" w:ascii="宋体" w:hAnsi="宋体" w:cs="宋体"/>
                <w:b/>
                <w:kern w:val="0"/>
              </w:rPr>
              <w:t>监管监测:</w:t>
            </w:r>
            <w:r>
              <w:rPr>
                <w:rFonts w:hint="eastAsia" w:ascii="宋体" w:hAnsi="宋体" w:cs="宋体"/>
                <w:kern w:val="0"/>
              </w:rPr>
              <w:t>知识规则分析展示、事后审核结果分析展示、稽核检查情况展示等进行全方位监测展示。演示内容齐全且演示界面的友好，操作简便、演示过程衔接流畅等方面好的得3分，一般的得2分，差的得1分，不演示的不得分；</w:t>
            </w:r>
          </w:p>
          <w:p>
            <w:r>
              <w:rPr>
                <w:rFonts w:hint="eastAsia" w:ascii="宋体" w:hAnsi="宋体" w:cs="宋体"/>
                <w:b/>
                <w:kern w:val="0"/>
              </w:rPr>
              <w:t>2、智能审核业务:</w:t>
            </w:r>
            <w:r>
              <w:rPr>
                <w:rFonts w:hint="eastAsia"/>
              </w:rPr>
              <w:t>包含规则配置（至少演示一条规则配置过程，规则库按照病种进行自定义配置，审核出疑似不合理就医行为的结果）、规则选择（</w:t>
            </w:r>
            <w:r>
              <w:rPr>
                <w:rFonts w:hint="eastAsia" w:ascii="宋体" w:hAnsi="宋体" w:cs="宋体"/>
                <w:kern w:val="0"/>
              </w:rPr>
              <w:t>演示审核规则和数据筛选结果，规则需要包括医疗机构、参保人、医疗执业人员三大维度</w:t>
            </w:r>
            <w:r>
              <w:rPr>
                <w:rFonts w:hint="eastAsia"/>
              </w:rPr>
              <w:t>）、数据筛选结果（演示至少2个大数据筛查模型，并可以展示分析结果）流程模块，并提供审核筛选结果的人工审核模块：演示内容齐全且演示界面的友好，操作简便、演示过程衔接流畅等方面好的得3分，一般的得2分，差的得1分，不演示的不得分；</w:t>
            </w:r>
          </w:p>
          <w:p>
            <w:r>
              <w:rPr>
                <w:rFonts w:hint="eastAsia"/>
                <w:b/>
              </w:rPr>
              <w:t>3、智能提醒：</w:t>
            </w:r>
            <w:r>
              <w:rPr>
                <w:rFonts w:hint="eastAsia"/>
              </w:rPr>
              <w:t>在医保端审核系统进行智能提醒规则设置，在医院端系统演示智能提醒类功能：</w:t>
            </w:r>
          </w:p>
          <w:p>
            <w:r>
              <w:rPr>
                <w:rFonts w:hint="eastAsia"/>
              </w:rPr>
              <w:t>（1）在医院端系统演示“剩余药量、历史就诊信息、重点关注人员、不恰当诊断、不合理处方、违规用药”等功能。</w:t>
            </w:r>
          </w:p>
          <w:p>
            <w:r>
              <w:rPr>
                <w:rFonts w:hint="eastAsia"/>
              </w:rPr>
              <w:t>（2）在医保中心审核系统展示智能提醒分析可按月进行统计，包括：就诊人次，提醒率、违规率、遵从率等指标统计。</w:t>
            </w:r>
          </w:p>
          <w:p>
            <w:r>
              <w:rPr>
                <w:rFonts w:hint="eastAsia"/>
              </w:rPr>
              <w:t>以上2项演示内容齐全且演示界面的友好，操作简便、演示过程衔接流畅等方面好的得4分，一般的得2分，差的得1分，不演示的不得分；</w:t>
            </w:r>
          </w:p>
          <w:p>
            <w:r>
              <w:rPr>
                <w:rFonts w:hint="eastAsia"/>
                <w:b/>
              </w:rPr>
              <w:t>4、移动监督管理：</w:t>
            </w:r>
            <w:r>
              <w:rPr>
                <w:rFonts w:hint="eastAsia"/>
              </w:rPr>
              <w:t>手机端演示移动稽核过程模块，演示内容包括但不限于以下：</w:t>
            </w:r>
          </w:p>
          <w:p>
            <w:r>
              <w:rPr>
                <w:rFonts w:hint="eastAsia"/>
              </w:rPr>
              <w:t>（1）疑点稽查：满足案件稽查的创建要求，并可以选择具体违规对象。</w:t>
            </w:r>
          </w:p>
          <w:p>
            <w:r>
              <w:rPr>
                <w:rFonts w:hint="eastAsia"/>
              </w:rPr>
              <w:t>（2）现场取证：支持“录音取证”、“照片取证”等多种取证方式。</w:t>
            </w:r>
          </w:p>
          <w:p>
            <w:r>
              <w:rPr>
                <w:rFonts w:hint="eastAsia"/>
              </w:rPr>
              <w:t>（3）可在线远程查询药品、疾病等信息。</w:t>
            </w:r>
          </w:p>
          <w:p>
            <w:r>
              <w:rPr>
                <w:rFonts w:hint="eastAsia"/>
              </w:rPr>
              <w:t>以上3项演示内容齐全且演示界面的友好，操作简便、演示过程衔接流畅等方面好的得4分，一般的得2分，差的得1分，不演示的不得分；</w:t>
            </w:r>
          </w:p>
          <w:p>
            <w:r>
              <w:rPr>
                <w:rFonts w:hint="eastAsia"/>
                <w:b/>
              </w:rPr>
              <w:t>5、违规下发与反馈功能：</w:t>
            </w:r>
            <w:r>
              <w:rPr>
                <w:rFonts w:hint="eastAsia"/>
              </w:rPr>
              <w:t>支持疑点信息下发到医疗机构，支持医疗机构端的申诉反馈。支持惩罚及上诉信息公开化，并在系统中提供大屏功能展示，方便领导决策。演示内容齐全且演示界面的友好，操作简便、演示过程衔接流畅等方面好的得3分，一般的得2分，差的得1分，不演示的不得分。</w:t>
            </w:r>
          </w:p>
          <w:p>
            <w:pPr>
              <w:rPr>
                <w:rFonts w:ascii="宋体" w:hAnsi="宋体"/>
              </w:rPr>
            </w:pPr>
            <w:r>
              <w:rPr>
                <w:rFonts w:hint="eastAsia"/>
                <w:b/>
              </w:rPr>
              <w:t>6、绩效评价方案配置功能：</w:t>
            </w:r>
            <w:r>
              <w:rPr>
                <w:rFonts w:hint="eastAsia"/>
              </w:rPr>
              <w:t>支持按地市设定绩效评价指标，并配置指标权重及评分方法；支持通过图形化的方式展示地市绩效评分结果，并能够比较地市之间的具体得分差异。演示内容齐全且演示界面的友好，操作简便、演示过程衔接流畅等方面好的得3分，一般的得2分，差的得1分，不演示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54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bCs/>
              </w:rPr>
            </w:pPr>
            <w:r>
              <w:rPr>
                <w:rFonts w:hint="eastAsia" w:ascii="宋体" w:hAnsi="宋体"/>
                <w:b/>
                <w:bCs/>
              </w:rPr>
              <w:t>培训及售后服务</w:t>
            </w:r>
          </w:p>
          <w:p>
            <w:pPr>
              <w:ind w:firstLine="105" w:firstLineChars="50"/>
              <w:jc w:val="center"/>
              <w:rPr>
                <w:rFonts w:ascii="宋体" w:hAnsi="宋体"/>
              </w:rPr>
            </w:pPr>
            <w:r>
              <w:rPr>
                <w:rFonts w:hint="eastAsia" w:ascii="宋体" w:hAnsi="宋体"/>
                <w:b/>
                <w:bCs/>
              </w:rPr>
              <w:t>（10分）</w:t>
            </w: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b/>
              </w:rPr>
              <w:t>培训方案：</w:t>
            </w:r>
            <w:r>
              <w:rPr>
                <w:rFonts w:hint="eastAsia" w:ascii="宋体" w:hAnsi="宋体"/>
              </w:rPr>
              <w:t>提出完整的项目培训方案，包括培训计划、培训内容。好的得4分，较好的得3分，一般的得1分，差的不得分。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b/>
              </w:rPr>
              <w:t>本地化服务能力：</w:t>
            </w:r>
            <w:r>
              <w:rPr>
                <w:rFonts w:hint="eastAsia" w:ascii="宋体" w:hAnsi="宋体"/>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4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rPr>
            </w:pPr>
          </w:p>
        </w:tc>
        <w:tc>
          <w:tcPr>
            <w:tcW w:w="7644"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b/>
              </w:rPr>
              <w:t>售后服务方案：</w:t>
            </w:r>
            <w:r>
              <w:rPr>
                <w:rFonts w:hint="eastAsia" w:ascii="宋体" w:hAnsi="宋体"/>
              </w:rPr>
              <w:t>投标人应针对本项目提供相应的售后服务方案。好的得4分，较好的得2分，一般的得1分，差的不得分。</w:t>
            </w:r>
          </w:p>
        </w:tc>
      </w:tr>
    </w:tbl>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Pr>
        <w:pStyle w:val="3"/>
      </w:pPr>
    </w:p>
    <w:p/>
    <w:p/>
    <w:p/>
    <w:p/>
    <w:p/>
    <w:p/>
    <w:p/>
    <w:p/>
    <w:p/>
    <w:p/>
    <w:p/>
    <w:p/>
    <w:p/>
    <w:p/>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955039"/>
      <w:bookmarkEnd w:id="196"/>
      <w:bookmarkStart w:id="197" w:name="_Hlt26671244"/>
      <w:bookmarkEnd w:id="197"/>
      <w:bookmarkStart w:id="198" w:name="_Toc26554094"/>
      <w:bookmarkStart w:id="199" w:name="_Toc120614282"/>
      <w:bookmarkStart w:id="200" w:name="_Toc49090576"/>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r>
        <w:rPr>
          <w:rFonts w:ascii="宋体" w:hAnsi="宋体"/>
          <w:sz w:val="24"/>
        </w:rPr>
        <w:br w:type="page"/>
      </w:r>
    </w:p>
    <w:bookmarkEnd w:id="180"/>
    <w:bookmarkEnd w:id="181"/>
    <w:bookmarkEnd w:id="198"/>
    <w:bookmarkEnd w:id="199"/>
    <w:bookmarkEnd w:id="200"/>
    <w:p>
      <w:pPr>
        <w:jc w:val="center"/>
        <w:rPr>
          <w:rFonts w:ascii="宋体" w:hAnsi="宋体"/>
          <w:b/>
          <w:sz w:val="30"/>
          <w:szCs w:val="30"/>
        </w:rPr>
      </w:pPr>
      <w:r>
        <w:rPr>
          <w:rFonts w:hint="eastAsia" w:ascii="宋体" w:hAnsi="宋体"/>
          <w:b/>
          <w:sz w:val="30"/>
          <w:szCs w:val="30"/>
        </w:rPr>
        <w:t>评分索引表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19"/>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19"/>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19"/>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816641"/>
      <w:bookmarkStart w:id="202" w:name="_Toc534725612"/>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816642"/>
      <w:bookmarkStart w:id="204" w:name="_Toc534725613"/>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725614"/>
      <w:bookmarkStart w:id="207" w:name="_Toc534816643"/>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6"/>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725615"/>
      <w:bookmarkStart w:id="209" w:name="_Toc534816644"/>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6"/>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725616"/>
      <w:bookmarkStart w:id="211" w:name="_Toc534816645"/>
      <w:r>
        <w:rPr>
          <w:rFonts w:hint="eastAsia" w:ascii="黑体" w:hAnsi="宋体" w:eastAsia="黑体"/>
          <w:b/>
          <w:bCs/>
          <w:sz w:val="30"/>
          <w:szCs w:val="30"/>
        </w:rPr>
        <w:t>法人授权书</w:t>
      </w:r>
      <w:bookmarkEnd w:id="210"/>
      <w:bookmarkEnd w:id="211"/>
    </w:p>
    <w:p>
      <w:pPr>
        <w:pStyle w:val="20"/>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0"/>
        <w:spacing w:beforeLines="50" w:afterLines="50" w:line="300" w:lineRule="auto"/>
        <w:ind w:firstLine="480"/>
        <w:rPr>
          <w:sz w:val="24"/>
          <w:szCs w:val="24"/>
        </w:rPr>
      </w:pPr>
      <w:r>
        <w:rPr>
          <w:rFonts w:hint="eastAsia"/>
          <w:sz w:val="24"/>
          <w:szCs w:val="24"/>
        </w:rPr>
        <w:t>本授权书于______年____月____日起生效，特此声明。</w:t>
      </w:r>
    </w:p>
    <w:p>
      <w:pPr>
        <w:pStyle w:val="20"/>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0"/>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0"/>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0"/>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0"/>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0"/>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0"/>
        <w:spacing w:beforeLines="50" w:afterLines="50" w:line="300" w:lineRule="auto"/>
        <w:ind w:firstLine="480"/>
        <w:rPr>
          <w:sz w:val="24"/>
          <w:szCs w:val="24"/>
          <w:u w:val="single"/>
        </w:rPr>
      </w:pPr>
      <w:r>
        <w:rPr>
          <w:rFonts w:hint="eastAsia"/>
          <w:sz w:val="24"/>
          <w:szCs w:val="24"/>
        </w:rPr>
        <w:t xml:space="preserve">      日期：</w:t>
      </w:r>
      <w:bookmarkStart w:id="212" w:name="_格式3__银行出具的资信证明"/>
      <w:bookmarkEnd w:id="212"/>
      <w:bookmarkStart w:id="213" w:name="_Hlt26671380"/>
      <w:bookmarkEnd w:id="213"/>
      <w:bookmarkStart w:id="214" w:name="_Hlt26955070"/>
      <w:bookmarkEnd w:id="214"/>
      <w:r>
        <w:rPr>
          <w:rFonts w:hint="eastAsia"/>
          <w:sz w:val="24"/>
          <w:szCs w:val="24"/>
          <w:u w:val="single"/>
        </w:rPr>
        <w:t xml:space="preserve">                                         </w:t>
      </w:r>
    </w:p>
    <w:p>
      <w:pPr>
        <w:pStyle w:val="20"/>
        <w:spacing w:beforeLines="50" w:afterLines="50" w:line="300" w:lineRule="auto"/>
        <w:ind w:firstLine="480"/>
        <w:rPr>
          <w:sz w:val="24"/>
          <w:szCs w:val="24"/>
          <w:u w:val="single"/>
        </w:rPr>
      </w:pPr>
    </w:p>
    <w:p>
      <w:pPr>
        <w:pStyle w:val="20"/>
        <w:spacing w:beforeLines="50" w:afterLines="50" w:line="300" w:lineRule="auto"/>
        <w:ind w:firstLine="480"/>
        <w:rPr>
          <w:sz w:val="24"/>
          <w:szCs w:val="24"/>
          <w:u w:val="singl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0"/>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816646"/>
      <w:bookmarkStart w:id="216" w:name="_Toc534725617"/>
      <w:r>
        <w:rPr>
          <w:rFonts w:hint="eastAsia" w:ascii="宋体" w:hAnsi="宋体" w:eastAsia="宋体" w:cs="Times New Roman"/>
          <w:bCs w:val="0"/>
          <w:sz w:val="32"/>
          <w:szCs w:val="32"/>
        </w:rPr>
        <w:t>投标函格式</w:t>
      </w:r>
      <w:bookmarkEnd w:id="215"/>
      <w:bookmarkEnd w:id="216"/>
    </w:p>
    <w:p>
      <w:pPr>
        <w:pStyle w:val="16"/>
        <w:spacing w:beforeLines="50" w:afterLines="50" w:line="300" w:lineRule="auto"/>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6"/>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6"/>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6"/>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6"/>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6"/>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6"/>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6"/>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6"/>
        <w:spacing w:beforeLines="50" w:afterLines="50" w:line="300" w:lineRule="auto"/>
        <w:ind w:left="425"/>
        <w:rPr>
          <w:rFonts w:ascii="宋体" w:hAnsi="宋体"/>
          <w:kern w:val="2"/>
          <w:szCs w:val="21"/>
        </w:rPr>
      </w:pPr>
      <w:r>
        <w:rPr>
          <w:rFonts w:hint="eastAsia" w:ascii="宋体" w:hAnsi="宋体"/>
          <w:kern w:val="2"/>
          <w:szCs w:val="21"/>
        </w:rPr>
        <w:t>8.与本投标有关的正式通讯地址为：</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725618"/>
      <w:bookmarkStart w:id="218" w:name="_Toc534816647"/>
      <w:r>
        <w:rPr>
          <w:rFonts w:hint="eastAsia"/>
        </w:rPr>
        <w:t>三、分项报价表</w:t>
      </w:r>
      <w:bookmarkEnd w:id="217"/>
      <w:bookmarkEnd w:id="2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725620"/>
      <w:bookmarkStart w:id="223" w:name="_Toc534816649"/>
      <w:r>
        <w:rPr>
          <w:rFonts w:hint="eastAsia"/>
        </w:rPr>
        <w:t>五、商务条款响应及偏离表</w:t>
      </w:r>
      <w:bookmarkEnd w:id="222"/>
      <w:bookmarkEnd w:id="223"/>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609391"/>
      <w:bookmarkEnd w:id="224"/>
      <w:bookmarkStart w:id="225" w:name="_Hlt26671343"/>
      <w:bookmarkEnd w:id="225"/>
      <w:bookmarkStart w:id="226" w:name="_Hlt24879081"/>
      <w:bookmarkEnd w:id="226"/>
      <w:bookmarkStart w:id="227" w:name="_Hlt26580838"/>
      <w:bookmarkEnd w:id="227"/>
      <w:bookmarkStart w:id="228" w:name="_Hlt26955056"/>
      <w:bookmarkEnd w:id="228"/>
      <w:bookmarkStart w:id="229" w:name="_Hlt26671372"/>
      <w:bookmarkEnd w:id="229"/>
      <w:bookmarkStart w:id="230" w:name="_Hlt26782999"/>
      <w:bookmarkEnd w:id="230"/>
      <w:bookmarkStart w:id="231" w:name="_Hlt26955064"/>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120614283"/>
      <w:bookmarkStart w:id="235" w:name="_Toc23828478"/>
      <w:bookmarkStart w:id="236" w:name="_Toc26554095"/>
      <w:bookmarkStart w:id="237" w:name="_Toc513029276"/>
      <w:bookmarkStart w:id="238" w:name="_Toc22356580"/>
      <w:bookmarkStart w:id="239" w:name="_Toc49090577"/>
      <w:bookmarkStart w:id="240" w:name="_Toc460901585"/>
      <w:bookmarkStart w:id="241" w:name="_Toc534816650"/>
      <w:bookmarkStart w:id="242" w:name="_Toc534725621"/>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98" w:hRule="atLeast"/>
        </w:trPr>
        <w:tc>
          <w:tcPr>
            <w:tcW w:w="2481"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8"/>
              <w:adjustRightInd w:val="0"/>
              <w:snapToGrid w:val="0"/>
              <w:spacing w:line="300" w:lineRule="auto"/>
              <w:rPr>
                <w:rFonts w:ascii="宋体" w:hAnsi="宋体" w:eastAsia="宋体" w:cs="宋体"/>
                <w:sz w:val="24"/>
                <w:szCs w:val="24"/>
              </w:rPr>
            </w:pPr>
          </w:p>
        </w:tc>
        <w:tc>
          <w:tcPr>
            <w:tcW w:w="6405"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6"/>
              <w:spacing w:before="0" w:after="0" w:line="500" w:lineRule="exact"/>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725622"/>
      <w:bookmarkStart w:id="244" w:name="_Toc534816651"/>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725623"/>
      <w:bookmarkStart w:id="246" w:name="_Toc534816652"/>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p/>
    <w:p/>
    <w:p/>
    <w:sectPr>
      <w:headerReference r:id="rId6" w:type="first"/>
      <w:footerReference r:id="rId8" w:type="first"/>
      <w:headerReference r:id="rId5"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0255229"/>
      <w:docPartObj>
        <w:docPartGallery w:val="autotext"/>
      </w:docPartObj>
    </w:sdtPr>
    <w:sdtContent>
      <w:p>
        <w:pPr>
          <w:pStyle w:val="10"/>
          <w:jc w:val="center"/>
        </w:pPr>
        <w:r>
          <w:fldChar w:fldCharType="begin"/>
        </w:r>
        <w:r>
          <w:instrText xml:space="preserve">PAGE   \* MERGEFORMAT</w:instrText>
        </w:r>
        <w:r>
          <w:fldChar w:fldCharType="separate"/>
        </w:r>
        <w:r>
          <w:rPr>
            <w:lang w:val="zh-CN"/>
          </w:rPr>
          <w:t>19</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84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83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9" w:lineRule="auto"/>
      <w:ind w:left="-1419" w:right="103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259" w:lineRule="auto"/>
      <w:ind w:right="103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1">
    <w:nsid w:val="2A2231B5"/>
    <w:multiLevelType w:val="singleLevel"/>
    <w:tmpl w:val="2A2231B5"/>
    <w:lvl w:ilvl="0" w:tentative="0">
      <w:start w:val="2"/>
      <w:numFmt w:val="chineseCounting"/>
      <w:suff w:val="nothing"/>
      <w:lvlText w:val="%1、"/>
      <w:lvlJc w:val="left"/>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abstractNum w:abstractNumId="3">
    <w:nsid w:val="54162607"/>
    <w:multiLevelType w:val="multilevel"/>
    <w:tmpl w:val="54162607"/>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3FB35B66"/>
    <w:rsid w:val="00071B4F"/>
    <w:rsid w:val="00153908"/>
    <w:rsid w:val="002612BE"/>
    <w:rsid w:val="00314BF4"/>
    <w:rsid w:val="003322E5"/>
    <w:rsid w:val="00334289"/>
    <w:rsid w:val="00392653"/>
    <w:rsid w:val="00457364"/>
    <w:rsid w:val="00704C4B"/>
    <w:rsid w:val="008D4C64"/>
    <w:rsid w:val="009A0294"/>
    <w:rsid w:val="00A71087"/>
    <w:rsid w:val="00AE4D0E"/>
    <w:rsid w:val="00B370C5"/>
    <w:rsid w:val="00BD44F1"/>
    <w:rsid w:val="00C0610E"/>
    <w:rsid w:val="00D34354"/>
    <w:rsid w:val="00D7520F"/>
    <w:rsid w:val="00E27C9C"/>
    <w:rsid w:val="00ED53A8"/>
    <w:rsid w:val="00F773EC"/>
    <w:rsid w:val="06173103"/>
    <w:rsid w:val="08FF3E13"/>
    <w:rsid w:val="0DE40858"/>
    <w:rsid w:val="107B155A"/>
    <w:rsid w:val="37D5718B"/>
    <w:rsid w:val="389140ED"/>
    <w:rsid w:val="3FB35B66"/>
    <w:rsid w:val="47BE11F5"/>
    <w:rsid w:val="49EC3AFF"/>
    <w:rsid w:val="56933060"/>
    <w:rsid w:val="56E8261B"/>
    <w:rsid w:val="5E211B4B"/>
    <w:rsid w:val="69204FDE"/>
    <w:rsid w:val="7E6E7278"/>
    <w:rsid w:val="7FCA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23"/>
    <w:qFormat/>
    <w:uiPriority w:val="0"/>
    <w:pPr>
      <w:jc w:val="left"/>
    </w:pPr>
  </w:style>
  <w:style w:type="paragraph" w:styleId="8">
    <w:name w:val="Body Text"/>
    <w:basedOn w:val="1"/>
    <w:qFormat/>
    <w:uiPriority w:val="0"/>
    <w:rPr>
      <w:rFonts w:ascii="楷体_GB2312" w:hAnsi="Arial" w:eastAsia="楷体_GB2312"/>
      <w:sz w:val="28"/>
      <w:szCs w:val="28"/>
    </w:rPr>
  </w:style>
  <w:style w:type="paragraph" w:styleId="9">
    <w:name w:val="Balloon Text"/>
    <w:basedOn w:val="1"/>
    <w:link w:val="22"/>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ind w:left="210"/>
      <w:jc w:val="left"/>
    </w:pPr>
    <w:rPr>
      <w:smallCaps/>
      <w:szCs w:val="24"/>
    </w:rPr>
  </w:style>
  <w:style w:type="character" w:styleId="15">
    <w:name w:val="Hyperlink"/>
    <w:qFormat/>
    <w:uiPriority w:val="99"/>
    <w:rPr>
      <w:color w:val="0000FF"/>
      <w:u w:val="single"/>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7">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8">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19">
    <w:name w:val="列出段落1"/>
    <w:basedOn w:val="1"/>
    <w:qFormat/>
    <w:uiPriority w:val="0"/>
    <w:pPr>
      <w:widowControl/>
      <w:ind w:left="720"/>
      <w:contextualSpacing/>
      <w:jc w:val="left"/>
    </w:pPr>
    <w:rPr>
      <w:kern w:val="0"/>
      <w:sz w:val="24"/>
      <w:szCs w:val="24"/>
      <w:lang w:eastAsia="en-US" w:bidi="en-US"/>
    </w:rPr>
  </w:style>
  <w:style w:type="paragraph" w:customStyle="1" w:styleId="20">
    <w:name w:val="Char"/>
    <w:basedOn w:val="1"/>
    <w:qFormat/>
    <w:uiPriority w:val="0"/>
    <w:pPr>
      <w:tabs>
        <w:tab w:val="left" w:pos="360"/>
      </w:tabs>
      <w:ind w:firstLine="200" w:firstLineChars="200"/>
    </w:pPr>
    <w:rPr>
      <w:sz w:val="28"/>
      <w:szCs w:val="30"/>
    </w:rPr>
  </w:style>
  <w:style w:type="paragraph" w:styleId="21">
    <w:name w:val="List Paragraph"/>
    <w:basedOn w:val="1"/>
    <w:unhideWhenUsed/>
    <w:qFormat/>
    <w:uiPriority w:val="99"/>
    <w:pPr>
      <w:ind w:firstLine="420" w:firstLineChars="200"/>
    </w:pPr>
  </w:style>
  <w:style w:type="character" w:customStyle="1" w:styleId="22">
    <w:name w:val="批注框文本 Char"/>
    <w:basedOn w:val="14"/>
    <w:link w:val="9"/>
    <w:qFormat/>
    <w:uiPriority w:val="0"/>
    <w:rPr>
      <w:rFonts w:ascii="Calibri" w:hAnsi="Calibri" w:eastAsia="宋体" w:cs="Times New Roman"/>
      <w:kern w:val="2"/>
      <w:sz w:val="18"/>
      <w:szCs w:val="18"/>
    </w:rPr>
  </w:style>
  <w:style w:type="character" w:customStyle="1" w:styleId="23">
    <w:name w:val="批注文字 Char"/>
    <w:basedOn w:val="14"/>
    <w:link w:val="7"/>
    <w:qFormat/>
    <w:uiPriority w:val="0"/>
    <w:rPr>
      <w:rFonts w:ascii="Calibri" w:hAnsi="Calibri" w:eastAsia="宋体" w:cs="Times New Roman"/>
      <w:kern w:val="2"/>
      <w:sz w:val="21"/>
      <w:szCs w:val="21"/>
    </w:rPr>
  </w:style>
  <w:style w:type="character" w:customStyle="1" w:styleId="24">
    <w:name w:val="页脚 Char"/>
    <w:basedOn w:val="14"/>
    <w:link w:val="10"/>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37580-0C68-4227-A938-339AF482F8B9}">
  <ds:schemaRefs/>
</ds:datastoreItem>
</file>

<file path=docProps/app.xml><?xml version="1.0" encoding="utf-8"?>
<Properties xmlns="http://schemas.openxmlformats.org/officeDocument/2006/extended-properties" xmlns:vt="http://schemas.openxmlformats.org/officeDocument/2006/docPropsVTypes">
  <Template>Normal.dotm</Template>
  <Pages>86</Pages>
  <Words>44545</Words>
  <Characters>47489</Characters>
  <Lines>375</Lines>
  <Paragraphs>105</Paragraphs>
  <TotalTime>24</TotalTime>
  <ScaleCrop>false</ScaleCrop>
  <LinksUpToDate>false</LinksUpToDate>
  <CharactersWithSpaces>51111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2020-08-02T03:13:00Z</dcterms:created>
  <dc:creator>蓉</dc:creator>
  <cp:lastModifiedBy>Administrator</cp:lastModifiedBy>
  <dcterms:modified xsi:type="dcterms:W3CDTF">2025-02-07T14:03:43Z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EC76DA1692034FA4B64D7DDB2AB58FCC</vt:lpwstr>
  </property>
</Properties>
</file>