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spacing w:before="0" w:after="0"/>
        <w:ind w:firstLine="0"/>
        <w:rPr>
          <w:rFonts w:ascii="宋体" w:hAnsi="宋体"/>
        </w:rPr>
      </w:pPr>
      <w:bookmarkStart w:id="247" w:name="_GoBack"/>
      <w:bookmarkEnd w:id="247"/>
    </w:p>
    <w:p>
      <w:pPr>
        <w:pStyle w:val="21"/>
        <w:ind w:firstLine="0"/>
        <w:jc w:val="center"/>
        <w:rPr>
          <w:rFonts w:eastAsia="黑体"/>
          <w:b/>
          <w:bCs/>
          <w:sz w:val="84"/>
        </w:rPr>
      </w:pPr>
    </w:p>
    <w:p>
      <w:pPr>
        <w:pStyle w:val="21"/>
        <w:ind w:firstLine="0"/>
        <w:jc w:val="center"/>
        <w:rPr>
          <w:rFonts w:eastAsia="黑体"/>
          <w:b/>
          <w:bCs/>
          <w:sz w:val="84"/>
        </w:rPr>
      </w:pPr>
      <w:r>
        <w:rPr>
          <w:rFonts w:hint="eastAsia" w:eastAsia="黑体"/>
          <w:b/>
          <w:bCs/>
          <w:sz w:val="84"/>
        </w:rPr>
        <w:t>招　标　文　件</w:t>
      </w:r>
    </w:p>
    <w:p>
      <w:pPr>
        <w:pStyle w:val="21"/>
        <w:ind w:firstLine="0"/>
        <w:rPr>
          <w:b/>
          <w:bCs/>
          <w:sz w:val="32"/>
        </w:rPr>
      </w:pPr>
    </w:p>
    <w:p>
      <w:pPr>
        <w:pStyle w:val="21"/>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包一：核心业务经办系统</w:t>
      </w:r>
    </w:p>
    <w:p>
      <w:pPr>
        <w:pStyle w:val="21"/>
        <w:ind w:firstLine="0"/>
        <w:jc w:val="center"/>
        <w:rPr>
          <w:b/>
          <w:bCs/>
          <w:sz w:val="32"/>
        </w:rPr>
      </w:pPr>
    </w:p>
    <w:p>
      <w:pPr>
        <w:pStyle w:val="21"/>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21"/>
        <w:spacing w:before="0" w:after="0"/>
        <w:ind w:firstLine="0"/>
        <w:rPr>
          <w:rFonts w:ascii="宋体" w:hAnsi="宋体"/>
        </w:rPr>
      </w:pPr>
    </w:p>
    <w:p>
      <w:pPr>
        <w:pStyle w:val="21"/>
        <w:spacing w:before="0" w:after="0"/>
        <w:ind w:firstLine="0"/>
        <w:rPr>
          <w:rFonts w:ascii="宋体" w:hAnsi="宋体"/>
        </w:rPr>
      </w:pPr>
      <w:r>
        <w:rPr>
          <w:rFonts w:hint="eastAsia" w:ascii="宋体" w:hAnsi="宋体"/>
        </w:rPr>
        <w:t xml:space="preserve">                            </w:t>
      </w:r>
    </w:p>
    <w:p>
      <w:pPr>
        <w:pStyle w:val="21"/>
        <w:spacing w:before="0" w:after="0"/>
        <w:ind w:firstLine="0"/>
        <w:rPr>
          <w:rFonts w:ascii="宋体" w:hAnsi="宋体"/>
        </w:rPr>
      </w:pPr>
    </w:p>
    <w:p>
      <w:pPr>
        <w:pStyle w:val="21"/>
        <w:spacing w:before="0" w:after="0"/>
        <w:ind w:firstLine="0"/>
        <w:rPr>
          <w:rFonts w:ascii="宋体" w:hAnsi="宋体"/>
        </w:rPr>
      </w:pPr>
    </w:p>
    <w:p>
      <w:pPr>
        <w:pStyle w:val="21"/>
        <w:spacing w:before="0" w:after="0"/>
        <w:ind w:firstLine="0"/>
        <w:rPr>
          <w:rFonts w:ascii="宋体" w:hAnsi="宋体"/>
        </w:rPr>
      </w:pPr>
    </w:p>
    <w:p>
      <w:pPr>
        <w:pStyle w:val="21"/>
        <w:ind w:firstLine="0"/>
        <w:jc w:val="center"/>
        <w:rPr>
          <w:b/>
          <w:bCs/>
          <w:sz w:val="32"/>
        </w:rPr>
      </w:pPr>
      <w:r>
        <w:rPr>
          <w:rFonts w:hint="eastAsia"/>
          <w:b/>
          <w:bCs/>
          <w:sz w:val="32"/>
        </w:rPr>
        <w:t>新疆维吾尔自治区政府服务和公共资源交易中心</w:t>
      </w:r>
    </w:p>
    <w:p>
      <w:pPr>
        <w:pStyle w:val="21"/>
        <w:ind w:firstLine="0"/>
        <w:jc w:val="center"/>
      </w:pPr>
      <w:r>
        <w:rPr>
          <w:rFonts w:hint="eastAsia"/>
          <w:b/>
          <w:bCs/>
          <w:sz w:val="32"/>
        </w:rPr>
        <w:t>2020年8月</w:t>
      </w:r>
      <w:r>
        <w:rPr>
          <w:b/>
          <w:bCs/>
          <w:sz w:val="32"/>
        </w:rPr>
        <w:t>5日</w:t>
      </w:r>
    </w:p>
    <w:p>
      <w:pPr>
        <w:pStyle w:val="21"/>
        <w:ind w:firstLine="0"/>
        <w:jc w:val="center"/>
      </w:pPr>
    </w:p>
    <w:p>
      <w:bookmarkStart w:id="0" w:name="_Toc120614210"/>
      <w:bookmarkStart w:id="1" w:name="_Toc494375077"/>
      <w:bookmarkStart w:id="2" w:name="_Toc16938516"/>
      <w:bookmarkStart w:id="3" w:name="_Toc513029200"/>
      <w:bookmarkStart w:id="4" w:name="_Toc479757206"/>
      <w:bookmarkStart w:id="5" w:name="_Toc523127445"/>
      <w:bookmarkStart w:id="6" w:name="_Toc20823272"/>
    </w:p>
    <w:p>
      <w:pPr>
        <w:pStyle w:val="22"/>
        <w:jc w:val="center"/>
        <w:rPr>
          <w:color w:val="auto"/>
          <w:sz w:val="44"/>
          <w:szCs w:val="44"/>
        </w:rPr>
      </w:pPr>
      <w:r>
        <w:rPr>
          <w:color w:val="auto"/>
          <w:sz w:val="44"/>
          <w:szCs w:val="44"/>
          <w:lang w:val="zh-CN"/>
        </w:rPr>
        <w:t>目录</w:t>
      </w:r>
    </w:p>
    <w:p>
      <w:pPr>
        <w:pStyle w:val="15"/>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9"/>
          <w:rFonts w:hint="eastAsia" w:ascii="黑体" w:hAnsi="黑体" w:eastAsia="黑体"/>
          <w:color w:val="auto"/>
          <w:sz w:val="32"/>
          <w:szCs w:val="32"/>
        </w:rPr>
        <w:t>第一章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5"/>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9"/>
          <w:rFonts w:hint="eastAsia" w:ascii="黑体" w:hAnsi="黑体" w:eastAsia="黑体"/>
          <w:color w:val="auto"/>
          <w:sz w:val="32"/>
          <w:szCs w:val="32"/>
        </w:rPr>
        <w:t>第二章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投标人须知</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_Toc534816626 \h </w:instrText>
      </w:r>
      <w:r>
        <w:rPr>
          <w:rFonts w:ascii="黑体" w:hAnsi="黑体" w:eastAsia="黑体"/>
          <w:sz w:val="32"/>
          <w:szCs w:val="32"/>
        </w:rPr>
        <w:fldChar w:fldCharType="separate"/>
      </w:r>
      <w:r>
        <w:rPr>
          <w:rFonts w:ascii="黑体" w:hAnsi="黑体" w:eastAsia="黑体"/>
          <w:sz w:val="32"/>
          <w:szCs w:val="32"/>
        </w:rPr>
        <w:t>5</w:t>
      </w:r>
      <w:r>
        <w:rPr>
          <w:rFonts w:ascii="黑体" w:hAnsi="黑体" w:eastAsia="黑体"/>
          <w:sz w:val="32"/>
          <w:szCs w:val="32"/>
        </w:rPr>
        <w:fldChar w:fldCharType="end"/>
      </w:r>
      <w:r>
        <w:rPr>
          <w:rFonts w:ascii="黑体" w:hAnsi="黑体" w:eastAsia="黑体"/>
          <w:sz w:val="32"/>
          <w:szCs w:val="32"/>
        </w:rPr>
        <w:fldChar w:fldCharType="end"/>
      </w:r>
    </w:p>
    <w:p>
      <w:pPr>
        <w:pStyle w:val="15"/>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9"/>
          <w:rFonts w:hint="eastAsia" w:ascii="黑体" w:hAnsi="黑体" w:eastAsia="黑体"/>
          <w:color w:val="auto"/>
          <w:sz w:val="32"/>
          <w:szCs w:val="32"/>
        </w:rPr>
        <w:t>第三章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合同文本</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r>
        <w:rPr>
          <w:rFonts w:hint="eastAsia" w:ascii="黑体" w:hAnsi="黑体" w:eastAsia="黑体"/>
          <w:sz w:val="32"/>
          <w:szCs w:val="32"/>
        </w:rPr>
        <w:t>0</w:t>
      </w:r>
    </w:p>
    <w:p>
      <w:pPr>
        <w:pStyle w:val="15"/>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9"/>
          <w:rFonts w:hint="eastAsia" w:ascii="黑体" w:hAnsi="黑体" w:eastAsia="黑体"/>
          <w:color w:val="auto"/>
          <w:sz w:val="32"/>
          <w:szCs w:val="32"/>
        </w:rPr>
        <w:t>第四章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7</w:t>
      </w:r>
    </w:p>
    <w:p>
      <w:pPr>
        <w:pStyle w:val="15"/>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9"/>
          <w:rFonts w:hint="eastAsia" w:ascii="黑体" w:hAnsi="黑体" w:eastAsia="黑体"/>
          <w:color w:val="auto"/>
          <w:sz w:val="32"/>
          <w:szCs w:val="32"/>
        </w:rPr>
        <w:t>第五章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评标方法与评标标准</w:t>
      </w:r>
      <w:r>
        <w:rPr>
          <w:rFonts w:ascii="黑体" w:hAnsi="黑体" w:eastAsia="黑体"/>
          <w:sz w:val="32"/>
          <w:szCs w:val="32"/>
        </w:rPr>
        <w:tab/>
      </w:r>
      <w:r>
        <w:rPr>
          <w:rFonts w:hint="eastAsia" w:ascii="黑体" w:hAnsi="黑体" w:eastAsia="黑体"/>
          <w:sz w:val="32"/>
          <w:szCs w:val="32"/>
        </w:rPr>
        <w:t>8</w:t>
      </w:r>
      <w:r>
        <w:rPr>
          <w:rFonts w:hint="eastAsia" w:ascii="黑体" w:hAnsi="黑体" w:eastAsia="黑体"/>
          <w:sz w:val="32"/>
          <w:szCs w:val="32"/>
        </w:rPr>
        <w:fldChar w:fldCharType="end"/>
      </w:r>
      <w:r>
        <w:rPr>
          <w:rFonts w:hint="eastAsia" w:ascii="黑体" w:hAnsi="黑体" w:eastAsia="黑体"/>
          <w:sz w:val="32"/>
          <w:szCs w:val="32"/>
        </w:rPr>
        <w:t>4</w:t>
      </w:r>
    </w:p>
    <w:p>
      <w:pPr>
        <w:pStyle w:val="15"/>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9"/>
          <w:rFonts w:hint="eastAsia" w:ascii="黑体" w:hAnsi="黑体" w:eastAsia="黑体"/>
          <w:color w:val="auto"/>
          <w:sz w:val="32"/>
          <w:szCs w:val="32"/>
        </w:rPr>
        <w:t>第六章</w:t>
      </w:r>
      <w:r>
        <w:rPr>
          <w:rStyle w:val="19"/>
          <w:rFonts w:ascii="黑体" w:hAnsi="黑体" w:eastAsia="黑体"/>
          <w:color w:val="auto"/>
          <w:sz w:val="32"/>
          <w:szCs w:val="32"/>
        </w:rPr>
        <w:t xml:space="preserve">  </w:t>
      </w:r>
      <w:r>
        <w:rPr>
          <w:rStyle w:val="19"/>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8</w:t>
      </w:r>
      <w:r>
        <w:rPr>
          <w:rFonts w:hint="eastAsia" w:ascii="黑体" w:hAnsi="黑体" w:eastAsia="黑体"/>
          <w:sz w:val="32"/>
          <w:szCs w:val="32"/>
        </w:rPr>
        <w:fldChar w:fldCharType="end"/>
      </w:r>
      <w:r>
        <w:rPr>
          <w:rFonts w:hint="eastAsia" w:ascii="黑体" w:hAnsi="黑体" w:eastAsia="黑体"/>
          <w:sz w:val="32"/>
          <w:szCs w:val="32"/>
        </w:rPr>
        <w:t>7</w:t>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725596"/>
      <w:bookmarkStart w:id="8" w:name="_Toc534816625"/>
    </w:p>
    <w:p>
      <w:pPr>
        <w:pStyle w:val="3"/>
      </w:pPr>
      <w:r>
        <w:rPr>
          <w:rFonts w:hint="eastAsia"/>
        </w:rPr>
        <w:t xml:space="preserve">第一章  </w:t>
      </w:r>
      <w:bookmarkEnd w:id="0"/>
      <w:r>
        <w:rPr>
          <w:rFonts w:hint="eastAsia"/>
        </w:rPr>
        <w:t>投标邀请</w:t>
      </w:r>
      <w:bookmarkEnd w:id="1"/>
      <w:bookmarkEnd w:id="7"/>
      <w:bookmarkEnd w:id="8"/>
    </w:p>
    <w:p>
      <w:pPr>
        <w:pStyle w:val="21"/>
        <w:ind w:firstLine="720" w:firstLineChars="300"/>
        <w:jc w:val="both"/>
        <w:rPr>
          <w:rFonts w:hAnsi="宋体"/>
        </w:rPr>
      </w:pPr>
      <w:r>
        <w:rPr>
          <w:rFonts w:hint="eastAsia" w:hAnsi="宋体"/>
        </w:rPr>
        <w:t>新疆维吾尔自治区政府服务和公共资源交易中心现就（新疆维吾尔自治区医疗保障局）所需的新疆维吾尔自治区医疗保障局医疗保障信息平台建设工程应用系统开发项目（ 包一：核心业务经办系统）进行公开招标采购，欢迎符合相关条件的合格供应商投标。</w:t>
      </w:r>
    </w:p>
    <w:p>
      <w:pPr>
        <w:pStyle w:val="21"/>
        <w:ind w:firstLine="723" w:firstLineChars="300"/>
        <w:jc w:val="both"/>
        <w:rPr>
          <w:rFonts w:ascii="宋体" w:hAnsi="宋体"/>
          <w:b/>
          <w:bCs/>
        </w:rPr>
      </w:pPr>
      <w:r>
        <w:rPr>
          <w:rFonts w:hint="eastAsia" w:ascii="宋体" w:hAnsi="宋体"/>
          <w:b/>
          <w:bCs/>
        </w:rPr>
        <w:t>一、项目名称及编号</w:t>
      </w:r>
    </w:p>
    <w:p>
      <w:pPr>
        <w:tabs>
          <w:tab w:val="left" w:pos="900"/>
        </w:tabs>
        <w:spacing w:line="560" w:lineRule="exact"/>
        <w:ind w:firstLine="480" w:firstLineChars="200"/>
        <w:rPr>
          <w:rFonts w:hAnsi="宋体"/>
          <w:sz w:val="24"/>
          <w:szCs w:val="24"/>
        </w:rPr>
      </w:pPr>
      <w:r>
        <w:rPr>
          <w:rFonts w:hint="eastAsia" w:hAnsi="宋体"/>
          <w:sz w:val="24"/>
          <w:szCs w:val="24"/>
        </w:rPr>
        <w:t>项目名称：新疆维吾尔自治区医疗保障局医疗保障信息平台建设工程应用系统开发项目（ 包一：核心业务经办系统）</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23"/>
        <w:adjustRightInd w:val="0"/>
        <w:snapToGrid w:val="0"/>
        <w:spacing w:after="0" w:line="293" w:lineRule="auto"/>
        <w:ind w:firstLine="480"/>
        <w:jc w:val="both"/>
        <w:rPr>
          <w:rFonts w:hAnsi="宋体"/>
          <w:szCs w:val="24"/>
        </w:rPr>
      </w:pPr>
      <w:r>
        <w:rPr>
          <w:rFonts w:hint="eastAsia" w:hAnsi="宋体"/>
          <w:szCs w:val="24"/>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基础信息管理子系统、医保核心业务经办子系统、核心业务区业务中台按照国家建设指南要求基于HSAF框架开发，为自治区医保核心业务经办提供支撑。</w:t>
      </w:r>
    </w:p>
    <w:p>
      <w:pPr>
        <w:tabs>
          <w:tab w:val="left" w:pos="900"/>
        </w:tabs>
        <w:spacing w:line="560" w:lineRule="exact"/>
        <w:ind w:firstLine="480" w:firstLineChars="200"/>
        <w:rPr>
          <w:rFonts w:hAnsi="宋体"/>
        </w:rPr>
      </w:pPr>
      <w:r>
        <w:rPr>
          <w:rFonts w:hint="eastAsia" w:hAnsi="宋体"/>
          <w:sz w:val="24"/>
        </w:rPr>
        <w:t>（二）本项目采购预算为</w:t>
      </w:r>
      <w:r>
        <w:rPr>
          <w:rFonts w:hAnsi="宋体"/>
          <w:sz w:val="24"/>
        </w:rPr>
        <w:t xml:space="preserve"> 2799.6</w:t>
      </w:r>
      <w:r>
        <w:rPr>
          <w:rFonts w:hint="eastAsia" w:hAnsi="宋体"/>
          <w:sz w:val="24"/>
        </w:rPr>
        <w:t>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 xml:space="preserve">最高限价，最高限价为 </w:t>
      </w:r>
      <w:r>
        <w:rPr>
          <w:rFonts w:hint="eastAsia" w:hAnsi="宋体"/>
          <w:kern w:val="0"/>
          <w:sz w:val="24"/>
          <w:szCs w:val="24"/>
        </w:rPr>
        <w:t>2799.6</w:t>
      </w:r>
      <w:r>
        <w:rPr>
          <w:rFonts w:hint="eastAsia" w:hAnsi="宋体"/>
          <w:sz w:val="24"/>
        </w:rPr>
        <w:t>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采购需求详见招标文件第四章内容。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p>
      <w:pPr>
        <w:snapToGrid w:val="0"/>
        <w:spacing w:line="560" w:lineRule="exact"/>
        <w:ind w:firstLine="480" w:firstLineChars="200"/>
        <w:rPr>
          <w:rFonts w:ascii="仿宋_GB2312" w:hAnsi="宋体" w:cs="Arial"/>
          <w:sz w:val="24"/>
        </w:rPr>
      </w:pPr>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年9月1日上午11:30-12:00分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2020年9月1日上午12:00分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rPr>
        <w:t xml:space="preserve">2020年9月1日上午12:00分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widowControl/>
        <w:jc w:val="left"/>
        <w:rPr>
          <w:rFonts w:ascii="宋体" w:hAnsi="宋体" w:eastAsia="黑体" w:cs="Arial"/>
          <w:b/>
          <w:bCs/>
          <w:sz w:val="24"/>
          <w:szCs w:val="44"/>
        </w:rPr>
      </w:pPr>
      <w:r>
        <w:rPr>
          <w:rFonts w:ascii="宋体" w:hAnsi="宋体"/>
          <w:sz w:val="24"/>
        </w:rPr>
        <w:br w:type="page"/>
      </w:r>
    </w:p>
    <w:bookmarkEnd w:id="2"/>
    <w:bookmarkEnd w:id="3"/>
    <w:bookmarkEnd w:id="4"/>
    <w:bookmarkEnd w:id="5"/>
    <w:bookmarkEnd w:id="6"/>
    <w:p>
      <w:pPr>
        <w:pStyle w:val="3"/>
        <w:ind w:firstLine="2429" w:firstLineChars="550"/>
        <w:jc w:val="both"/>
        <w:rPr>
          <w:rFonts w:ascii="黑体"/>
          <w:b w:val="0"/>
          <w:bCs w:val="0"/>
        </w:rPr>
      </w:pPr>
      <w:bookmarkStart w:id="9" w:name="_Toc120614211"/>
      <w:bookmarkStart w:id="10" w:name="_Toc534725597"/>
      <w:bookmarkStart w:id="11" w:name="_Toc534816626"/>
      <w:bookmarkStart w:id="12" w:name="_Toc20823314"/>
      <w:bookmarkStart w:id="13" w:name="_Toc513029242"/>
      <w:bookmarkStart w:id="14" w:name="_Toc16938558"/>
      <w:bookmarkStart w:id="15" w:name="_Toc479757207"/>
      <w:bookmarkStart w:id="16" w:name="_Toc120614221"/>
      <w:bookmarkStart w:id="17" w:name="_Toc494375079"/>
      <w:r>
        <w:rPr>
          <w:rFonts w:hint="eastAsia" w:ascii="黑体"/>
        </w:rPr>
        <w:t xml:space="preserve">第二章  </w:t>
      </w:r>
      <w:bookmarkEnd w:id="9"/>
      <w:bookmarkStart w:id="18" w:name="_Toc16938518"/>
      <w:bookmarkStart w:id="19" w:name="_Toc120614213"/>
      <w:bookmarkStart w:id="20" w:name="_Toc20823274"/>
      <w:bookmarkStart w:id="21" w:name="_Toc513029202"/>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16938519"/>
      <w:bookmarkStart w:id="23" w:name="_Toc120614214"/>
      <w:bookmarkStart w:id="24" w:name="_Toc20823275"/>
      <w:bookmarkStart w:id="25" w:name="_Toc513029203"/>
      <w:bookmarkStart w:id="26" w:name="_Toc534725598"/>
      <w:bookmarkStart w:id="27" w:name="_Toc534816627"/>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513029204"/>
      <w:bookmarkStart w:id="31" w:name="_Toc16938520"/>
      <w:bookmarkStart w:id="32" w:name="_Toc20823276"/>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513029205"/>
      <w:bookmarkStart w:id="34" w:name="_Toc20823277"/>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20823278"/>
      <w:bookmarkStart w:id="37" w:name="_Toc16938522"/>
      <w:bookmarkStart w:id="38" w:name="_Toc513029206"/>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16938523"/>
      <w:bookmarkStart w:id="40" w:name="_Toc462564067"/>
      <w:bookmarkStart w:id="41" w:name="_Toc513029207"/>
      <w:bookmarkStart w:id="42" w:name="_Toc20823279"/>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534816628"/>
      <w:bookmarkStart w:id="44" w:name="_Toc513029209"/>
      <w:bookmarkStart w:id="45" w:name="_Toc534725599"/>
      <w:bookmarkStart w:id="46" w:name="_Toc120614215"/>
      <w:bookmarkStart w:id="47" w:name="_Toc16938525"/>
      <w:bookmarkStart w:id="48" w:name="_Toc20823281"/>
      <w:r>
        <w:rPr>
          <w:rFonts w:hint="eastAsia"/>
        </w:rPr>
        <w:t>二、招标文件</w:t>
      </w:r>
      <w:bookmarkEnd w:id="43"/>
      <w:bookmarkEnd w:id="44"/>
      <w:bookmarkEnd w:id="45"/>
      <w:bookmarkEnd w:id="46"/>
      <w:bookmarkEnd w:id="47"/>
      <w:bookmarkEnd w:id="48"/>
    </w:p>
    <w:p>
      <w:pPr>
        <w:pStyle w:val="5"/>
        <w:rPr>
          <w:b w:val="0"/>
        </w:rPr>
      </w:pPr>
      <w:bookmarkStart w:id="49" w:name="_Toc16938526"/>
      <w:bookmarkStart w:id="50" w:name="_Toc513029210"/>
      <w:bookmarkStart w:id="51" w:name="_Toc20823282"/>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513029211"/>
      <w:bookmarkStart w:id="53" w:name="_Toc462564070"/>
      <w:bookmarkStart w:id="54" w:name="_Toc20823283"/>
      <w:bookmarkStart w:id="55" w:name="_Toc16938527"/>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20823284"/>
      <w:bookmarkStart w:id="57" w:name="_Toc462564071"/>
      <w:bookmarkStart w:id="58" w:name="_Toc513029212"/>
      <w:bookmarkStart w:id="59" w:name="_Toc16938528"/>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20823285"/>
      <w:bookmarkStart w:id="61" w:name="_Toc534816629"/>
      <w:bookmarkStart w:id="62" w:name="_Toc16938529"/>
      <w:bookmarkStart w:id="63" w:name="_Toc513029213"/>
      <w:bookmarkStart w:id="64" w:name="_Toc534725600"/>
      <w:bookmarkStart w:id="65" w:name="_Toc462564072"/>
      <w:bookmarkStart w:id="66" w:name="_Toc120614216"/>
      <w:r>
        <w:rPr>
          <w:rFonts w:hint="eastAsia"/>
        </w:rPr>
        <w:t>三、投标文件的编制</w:t>
      </w:r>
      <w:bookmarkEnd w:id="60"/>
      <w:bookmarkEnd w:id="61"/>
      <w:bookmarkEnd w:id="62"/>
      <w:bookmarkEnd w:id="63"/>
      <w:bookmarkEnd w:id="64"/>
      <w:bookmarkEnd w:id="65"/>
      <w:bookmarkEnd w:id="66"/>
    </w:p>
    <w:p>
      <w:pPr>
        <w:pStyle w:val="5"/>
      </w:pPr>
      <w:bookmarkStart w:id="67" w:name="_Toc513029214"/>
      <w:bookmarkStart w:id="68" w:name="_Toc16938530"/>
      <w:bookmarkStart w:id="69" w:name="_Toc20823286"/>
      <w:bookmarkStart w:id="70" w:name="_Toc462564073"/>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462564074"/>
      <w:bookmarkStart w:id="72" w:name="_Toc16938531"/>
      <w:bookmarkStart w:id="73" w:name="_Toc513029215"/>
      <w:bookmarkStart w:id="74" w:name="_Toc20823287"/>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68975"/>
      <w:bookmarkEnd w:id="75"/>
      <w:bookmarkStart w:id="76" w:name="_Hlt26954838"/>
      <w:bookmarkEnd w:id="76"/>
      <w:bookmarkStart w:id="77" w:name="_Hlt26670360"/>
      <w:bookmarkEnd w:id="77"/>
      <w:bookmarkStart w:id="78" w:name="_Toc49090509"/>
      <w:bookmarkStart w:id="79" w:name="_Toc14577357"/>
      <w:bookmarkStart w:id="80" w:name="_Toc513029219"/>
      <w:bookmarkStart w:id="81" w:name="_Toc49090507"/>
      <w:bookmarkStart w:id="82" w:name="_Toc14577354"/>
      <w:bookmarkStart w:id="83" w:name="_Toc513029216"/>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954844"/>
      <w:bookmarkEnd w:id="88"/>
      <w:bookmarkStart w:id="89" w:name="_Hlt26670425"/>
      <w:bookmarkEnd w:id="89"/>
      <w:bookmarkStart w:id="90" w:name="_Hlt26668983"/>
      <w:bookmarkEnd w:id="90"/>
      <w:bookmarkStart w:id="91" w:name="_Hlt26670403"/>
      <w:bookmarkEnd w:id="91"/>
      <w:bookmarkStart w:id="92" w:name="_Hlt26954842"/>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846"/>
      <w:bookmarkEnd w:id="93"/>
      <w:bookmarkStart w:id="94" w:name="_Hlt26670486"/>
      <w:bookmarkEnd w:id="94"/>
      <w:bookmarkStart w:id="95" w:name="_Hlt26954848"/>
      <w:bookmarkEnd w:id="95"/>
      <w:bookmarkStart w:id="96" w:name="_Hlt26954731"/>
      <w:bookmarkEnd w:id="96"/>
      <w:bookmarkStart w:id="97" w:name="_Hlt26670482"/>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49090510"/>
      <w:bookmarkStart w:id="99" w:name="_Toc14577359"/>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850"/>
      <w:bookmarkEnd w:id="100"/>
      <w:bookmarkStart w:id="101" w:name="_Hlt26670489"/>
      <w:bookmarkEnd w:id="101"/>
      <w:bookmarkStart w:id="102" w:name="_Hlt26954734"/>
      <w:bookmarkEnd w:id="102"/>
      <w:bookmarkStart w:id="103" w:name="_Toc49090511"/>
      <w:bookmarkStart w:id="104" w:name="_Toc14577360"/>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852"/>
      <w:bookmarkEnd w:id="105"/>
      <w:bookmarkStart w:id="106" w:name="_Hlt26954739"/>
      <w:bookmarkEnd w:id="106"/>
      <w:bookmarkStart w:id="107" w:name="_Toc49090512"/>
      <w:bookmarkStart w:id="108" w:name="_Toc14577361"/>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534725601"/>
      <w:bookmarkStart w:id="110" w:name="_Toc16938540"/>
      <w:bookmarkStart w:id="111" w:name="_Toc534816630"/>
      <w:bookmarkStart w:id="112" w:name="_Toc20823296"/>
      <w:bookmarkStart w:id="113" w:name="_Toc513029224"/>
      <w:bookmarkStart w:id="114" w:name="_Toc120614217"/>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462564084"/>
      <w:bookmarkStart w:id="116" w:name="_Toc20823297"/>
      <w:bookmarkStart w:id="117" w:name="_Toc16938541"/>
      <w:bookmarkStart w:id="118" w:name="_Toc513029225"/>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16938542"/>
      <w:bookmarkStart w:id="120" w:name="_Toc513029226"/>
      <w:bookmarkStart w:id="121" w:name="_Toc20823298"/>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20823299"/>
      <w:bookmarkStart w:id="123" w:name="_Toc16938543"/>
      <w:bookmarkStart w:id="124" w:name="_Toc513029227"/>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20823300"/>
      <w:bookmarkStart w:id="126" w:name="_Toc513029228"/>
      <w:bookmarkStart w:id="127" w:name="_Toc16938544"/>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534816631"/>
      <w:bookmarkStart w:id="129" w:name="_Toc16938545"/>
      <w:bookmarkStart w:id="130" w:name="_Toc20823301"/>
      <w:bookmarkStart w:id="131" w:name="_Toc534725602"/>
      <w:bookmarkStart w:id="132" w:name="_Toc120614218"/>
      <w:bookmarkStart w:id="133" w:name="_Toc513029229"/>
      <w:r>
        <w:rPr>
          <w:rFonts w:hint="eastAsia"/>
        </w:rPr>
        <w:t>五、开标与评标</w:t>
      </w:r>
      <w:bookmarkEnd w:id="128"/>
      <w:bookmarkEnd w:id="129"/>
      <w:bookmarkEnd w:id="130"/>
      <w:bookmarkEnd w:id="131"/>
      <w:bookmarkEnd w:id="132"/>
      <w:bookmarkEnd w:id="133"/>
    </w:p>
    <w:p>
      <w:pPr>
        <w:pStyle w:val="5"/>
        <w:rPr>
          <w:b w:val="0"/>
        </w:rPr>
      </w:pPr>
      <w:bookmarkStart w:id="134" w:name="_Toc513029230"/>
      <w:bookmarkStart w:id="135" w:name="_Toc16938546"/>
      <w:bookmarkStart w:id="136" w:name="_Toc20823302"/>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16938547"/>
      <w:bookmarkStart w:id="138" w:name="_Toc20823303"/>
      <w:bookmarkStart w:id="139" w:name="_Toc513029231"/>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513029232"/>
      <w:bookmarkStart w:id="141" w:name="_Toc16938548"/>
      <w:bookmarkStart w:id="142" w:name="_Toc20823304"/>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513029233"/>
      <w:bookmarkStart w:id="144" w:name="_Toc20823305"/>
      <w:bookmarkStart w:id="145" w:name="_Toc16938549"/>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16938550"/>
      <w:bookmarkStart w:id="147" w:name="_Toc20823306"/>
      <w:bookmarkStart w:id="148" w:name="_Toc513029234"/>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16938551"/>
      <w:bookmarkStart w:id="150" w:name="_Toc20823307"/>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120614219"/>
      <w:bookmarkStart w:id="153" w:name="_Toc534725603"/>
      <w:bookmarkStart w:id="154" w:name="_Toc534816632"/>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20823310"/>
      <w:bookmarkStart w:id="157" w:name="_Toc16938554"/>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816633"/>
      <w:bookmarkStart w:id="160" w:name="_Toc120614220"/>
      <w:bookmarkStart w:id="161" w:name="_Toc534725604"/>
      <w:bookmarkStart w:id="162" w:name="_Toc20823308"/>
      <w:bookmarkStart w:id="163" w:name="_Toc513029236"/>
      <w:bookmarkStart w:id="164" w:name="_Toc16938552"/>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20823309"/>
      <w:bookmarkStart w:id="166" w:name="_Toc513029237"/>
      <w:bookmarkStart w:id="167" w:name="_Toc16938553"/>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816634"/>
      <w:bookmarkStart w:id="170" w:name="_Toc534725605"/>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7"/>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7"/>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7"/>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7"/>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7"/>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7"/>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r>
        <w:rPr>
          <w:rFonts w:ascii="宋体" w:hAnsi="宋体"/>
          <w:bCs/>
          <w:sz w:val="24"/>
          <w:szCs w:val="24"/>
        </w:rPr>
        <w:br w:type="page"/>
      </w:r>
    </w:p>
    <w:p>
      <w:pPr>
        <w:pStyle w:val="3"/>
      </w:pPr>
      <w:bookmarkStart w:id="171" w:name="_Toc534725606"/>
      <w:bookmarkStart w:id="172" w:name="_Toc534816635"/>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16938559"/>
      <w:bookmarkStart w:id="174" w:name="_Toc20823315"/>
      <w:bookmarkStart w:id="175" w:name="_Toc513029243"/>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Toc16938590"/>
      <w:bookmarkStart w:id="177" w:name="_Toc120614244"/>
      <w:bookmarkStart w:id="178" w:name="_Hlt16619350"/>
      <w:bookmarkStart w:id="179" w:name="_Toc20823346"/>
      <w:bookmarkStart w:id="180" w:name="_Toc479757211"/>
      <w:bookmarkStart w:id="181" w:name="_Toc462564139"/>
    </w:p>
    <w:p>
      <w:pPr>
        <w:spacing w:line="360" w:lineRule="auto"/>
        <w:ind w:left="569" w:right="371" w:hanging="10"/>
        <w:jc w:val="center"/>
        <w:rPr>
          <w:sz w:val="28"/>
        </w:rPr>
      </w:pPr>
    </w:p>
    <w:p>
      <w:pPr>
        <w:spacing w:line="360" w:lineRule="auto"/>
        <w:rPr>
          <w:szCs w:val="24"/>
        </w:rPr>
      </w:pPr>
      <w:bookmarkStart w:id="182" w:name="_Toc534816636"/>
      <w:bookmarkStart w:id="183" w:name="_Toc494375080"/>
      <w:bookmarkStart w:id="184" w:name="_Toc534725607"/>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9"/>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ind w:left="0"/>
        <w:jc w:val="center"/>
        <w:rPr>
          <w:b/>
          <w:sz w:val="32"/>
        </w:rPr>
      </w:pPr>
      <w:r>
        <w:rPr>
          <w:rFonts w:hint="eastAsia"/>
          <w:b/>
          <w:sz w:val="32"/>
        </w:rPr>
        <w:t>项目需求</w:t>
      </w:r>
      <w:bookmarkEnd w:id="176"/>
      <w:bookmarkEnd w:id="177"/>
      <w:bookmarkEnd w:id="178"/>
      <w:bookmarkEnd w:id="179"/>
      <w:bookmarkEnd w:id="182"/>
      <w:bookmarkEnd w:id="183"/>
      <w:bookmarkEnd w:id="184"/>
      <w:bookmarkStart w:id="185" w:name="_Toc534725609"/>
      <w:bookmarkStart w:id="186" w:name="_Toc534816638"/>
      <w:bookmarkStart w:id="187" w:name="_Toc26554093"/>
      <w:bookmarkStart w:id="188" w:name="_Toc49090575"/>
    </w:p>
    <w:p>
      <w:pPr>
        <w:spacing w:before="100" w:beforeAutospacing="1" w:after="100" w:afterAutospacing="1" w:line="360" w:lineRule="auto"/>
        <w:jc w:val="center"/>
        <w:rPr>
          <w:rFonts w:ascii="Times New Roman" w:hAnsi="Times New Roman"/>
          <w:b/>
          <w:sz w:val="32"/>
        </w:rPr>
      </w:pPr>
      <w:r>
        <w:rPr>
          <w:rFonts w:hint="eastAsia" w:ascii="Times New Roman" w:hAnsi="Times New Roman"/>
          <w:b/>
          <w:sz w:val="32"/>
        </w:rPr>
        <w:t>包一：核心业务经办系统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核心业务经办系统（包含基础信息管理子系统、医保核心业务经办子系统、核心业务区业务中台等）的技术需求。提供本项目建设所需的软件和服务的公司（以下称投标方）应向新疆维吾尔自治区医疗保障局（以下称招标方）就核心业务经办系统（包含基础信息管理子系统、医保核心业务经办子系统、核心业务区业务中台等）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应用软件系统建设项目，含核心业务经办系统（包含基础信息管理子系统、医保核心业务经办子系统、核心业务区业务中台等）功能开发和部署等。本文将给出招标方对核心业务经办系统（包含基础信息管理子系统、医保核心业务经办子系统、核心业务区业务中台等）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31"/>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系统建设应该遵循以下原则：</w:t>
      </w:r>
    </w:p>
    <w:p>
      <w:pPr>
        <w:spacing w:line="360" w:lineRule="auto"/>
        <w:ind w:firstLine="480" w:firstLineChars="200"/>
        <w:rPr>
          <w:rFonts w:ascii="Times New Roman" w:hAnsi="Times New Roman"/>
          <w:sz w:val="24"/>
        </w:rPr>
      </w:pPr>
      <w:r>
        <w:rPr>
          <w:rFonts w:hint="eastAsia" w:ascii="Times New Roman" w:hAnsi="Times New Roman"/>
          <w:sz w:val="24"/>
        </w:rPr>
        <w:t>（1）先进性原则。在技术上应采用业界先进、成熟的软件开发技术，面向对象的设计方法,面向对象的开发工具。采用浏览器/服务器体系结构以支持网络环境下的分布式应用。</w:t>
      </w:r>
    </w:p>
    <w:p>
      <w:pPr>
        <w:spacing w:line="360" w:lineRule="auto"/>
        <w:ind w:firstLine="480" w:firstLineChars="200"/>
        <w:rPr>
          <w:rFonts w:ascii="Times New Roman" w:hAnsi="Times New Roman"/>
          <w:sz w:val="24"/>
        </w:rPr>
      </w:pPr>
      <w:r>
        <w:rPr>
          <w:rFonts w:hint="eastAsia" w:ascii="Times New Roman" w:hAnsi="Times New Roman"/>
          <w:sz w:val="24"/>
        </w:rPr>
        <w:t>（2）实用性原则。必须做到系统使用易学、易用、实用，方便广大民众和各级政府部门相关人员的使用。</w:t>
      </w:r>
    </w:p>
    <w:p>
      <w:pPr>
        <w:spacing w:line="360" w:lineRule="auto"/>
        <w:ind w:firstLine="480" w:firstLineChars="200"/>
        <w:rPr>
          <w:rFonts w:ascii="Times New Roman" w:hAnsi="Times New Roman"/>
          <w:sz w:val="24"/>
        </w:rPr>
      </w:pPr>
      <w:r>
        <w:rPr>
          <w:rFonts w:hint="eastAsia" w:ascii="Times New Roman" w:hAnsi="Times New Roman"/>
          <w:sz w:val="24"/>
        </w:rPr>
        <w:t>（3）开放性原则。保证系统设计的规范性，包括系统内部程序设计的规范、系统各模块之间接口的规范、系统内部与外部接口的规范和系统用户界面的规范，以便于同其它系统进行信息交互。</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（5）安全性和可靠性原则。符合国家法律法规要求；系统建设要采取全面 的安全防护措施，系统开发层面，避免安全漏洞和隐患，做好用户隐私的保护和防泄漏。</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将来的发展，系统应提供配置模块和客户化工具，通过一系列的组件和工具，使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本文涉及新疆维吾尔自治区医疗保障信息平台应用系统层的核心业务经办系统（包含基础信息管理子系统、医保核心业务经办子系统、核心业务区业务中台等）作为自治区医疗保障信息平台的组成部分。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核心业务经办系统（包含基础信息管理子系统、医保核心业务经办子系统、核心业务区业务中台等）。</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软件功能要求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基础信息管理子系统功能要求</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基础信息管理子系统基础信息是从国家医疗保障信息平台基础信息同步而来，对全疆医疗保障的所有业务标准数据进行规范管理，主要提供疾病诊断、药品、医疗服务项目、耗材、人员、单位、机构等基础信息的管理功能和服务功能，并包含电子凭证管理，实现为所有系统提供数据支撑的目的，为跨地区、跨业务、跨部门的信息共享和业务协同提供支持，构建专家库管理，为各项政策制定、招标采购、项目评审提供公平公正公开的专业意见。针对医疗政策相关数据可进行修改并审核，逐步形成统一标准，统一数据格式的目标。</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基础信息管理子系统架构如下：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4308475"/>
            <wp:effectExtent l="0" t="0" r="254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4308475"/>
                    </a:xfrm>
                    <a:prstGeom prst="rect">
                      <a:avLst/>
                    </a:prstGeom>
                    <a:noFill/>
                    <a:ln>
                      <a:noFill/>
                    </a:ln>
                  </pic:spPr>
                </pic:pic>
              </a:graphicData>
            </a:graphic>
          </wp:inline>
        </w:drawing>
      </w:r>
    </w:p>
    <w:p>
      <w:pPr>
        <w:spacing w:line="360" w:lineRule="auto"/>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0</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1</w:t>
      </w:r>
      <w:r>
        <w:rPr>
          <w:rFonts w:ascii="Times New Roman" w:hAnsi="Times New Roman" w:eastAsia="黑体"/>
        </w:rPr>
        <w:fldChar w:fldCharType="end"/>
      </w:r>
      <w:r>
        <w:rPr>
          <w:rFonts w:hint="eastAsia" w:ascii="Times New Roman" w:hAnsi="Times New Roman" w:eastAsia="黑体"/>
        </w:rPr>
        <w:t>基础信息管理子系统架构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医保目录管理</w:t>
      </w:r>
    </w:p>
    <w:p>
      <w:pPr>
        <w:spacing w:line="360" w:lineRule="auto"/>
        <w:ind w:firstLine="480" w:firstLineChars="200"/>
        <w:rPr>
          <w:rFonts w:ascii="Times New Roman" w:hAnsi="Times New Roman"/>
          <w:sz w:val="24"/>
        </w:rPr>
      </w:pPr>
      <w:r>
        <w:rPr>
          <w:rFonts w:hint="eastAsia" w:ascii="Times New Roman" w:hAnsi="Times New Roman"/>
          <w:sz w:val="24"/>
        </w:rPr>
        <w:t>1.疾病诊断编码标准管理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通过同步国家局疾病诊断编码，对疾病编码诊断编码标准进行维护。</w:t>
      </w:r>
    </w:p>
    <w:p>
      <w:pPr>
        <w:spacing w:line="360" w:lineRule="auto"/>
        <w:ind w:firstLine="480" w:firstLineChars="200"/>
        <w:rPr>
          <w:rFonts w:ascii="Times New Roman" w:hAnsi="Times New Roman"/>
          <w:sz w:val="24"/>
        </w:rPr>
      </w:pPr>
      <w:r>
        <w:rPr>
          <w:rFonts w:hint="eastAsia" w:ascii="Times New Roman" w:hAnsi="Times New Roman"/>
          <w:sz w:val="24"/>
        </w:rPr>
        <w:t>2.药品编码标准管理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通过同步国家局药品编码标准，对医药品编码标准进行维护。</w:t>
      </w:r>
    </w:p>
    <w:p>
      <w:pPr>
        <w:spacing w:line="360" w:lineRule="auto"/>
        <w:ind w:firstLine="480" w:firstLineChars="200"/>
        <w:rPr>
          <w:rFonts w:ascii="Times New Roman" w:hAnsi="Times New Roman"/>
          <w:sz w:val="24"/>
        </w:rPr>
      </w:pPr>
      <w:r>
        <w:rPr>
          <w:rFonts w:hint="eastAsia" w:ascii="Times New Roman" w:hAnsi="Times New Roman"/>
          <w:sz w:val="24"/>
        </w:rPr>
        <w:t>3.医疗服务项目编码标准管理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通过同步国家局医疗服务项目编码标准，对医疗服务项目编码标准进行维护。</w:t>
      </w:r>
    </w:p>
    <w:p>
      <w:pPr>
        <w:spacing w:line="360" w:lineRule="auto"/>
        <w:ind w:firstLine="480" w:firstLineChars="200"/>
        <w:rPr>
          <w:rFonts w:ascii="Times New Roman" w:hAnsi="Times New Roman"/>
          <w:sz w:val="24"/>
        </w:rPr>
      </w:pPr>
      <w:r>
        <w:rPr>
          <w:rFonts w:hint="eastAsia" w:ascii="Times New Roman" w:hAnsi="Times New Roman"/>
          <w:sz w:val="24"/>
        </w:rPr>
        <w:t>4.医用耗材编码标准管理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通过同步国家局医用耗材编码标准，对医用耗材编码标准进行维护。</w:t>
      </w:r>
    </w:p>
    <w:p>
      <w:pPr>
        <w:spacing w:line="360" w:lineRule="auto"/>
        <w:ind w:firstLine="480" w:firstLineChars="200"/>
        <w:rPr>
          <w:rFonts w:ascii="Times New Roman" w:hAnsi="Times New Roman"/>
          <w:sz w:val="24"/>
        </w:rPr>
      </w:pPr>
      <w:r>
        <w:rPr>
          <w:rFonts w:hint="eastAsia" w:ascii="Times New Roman" w:hAnsi="Times New Roman"/>
          <w:sz w:val="24"/>
        </w:rPr>
        <w:t>5.医保手术操作标准管理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通过同步国家局医疗手术操作目录，对医疗手术操作目录进行维护。</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病种目录管理</w:t>
      </w:r>
    </w:p>
    <w:p>
      <w:pPr>
        <w:spacing w:line="360" w:lineRule="auto"/>
        <w:ind w:firstLine="480" w:firstLineChars="200"/>
        <w:rPr>
          <w:rFonts w:ascii="Times New Roman" w:hAnsi="Times New Roman"/>
          <w:sz w:val="24"/>
        </w:rPr>
      </w:pPr>
      <w:r>
        <w:rPr>
          <w:rFonts w:hint="eastAsia" w:ascii="Times New Roman" w:hAnsi="Times New Roman"/>
          <w:sz w:val="24"/>
        </w:rPr>
        <w:t>1.门慢门特病种目录管理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通过同步国家局门慢门特病种目录，对门慢门特病种目录标准进行维护，供其他业务子系统调取。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2.病种结算目录管理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通过同步国家局病种结算目录，对病种结算目录进行维护，供其他业务子系统调取。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3.日间手术病种目录管理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通过同步国家局日间手术病种目录，对日间手术病种目录进行维护。</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组织机构管理</w:t>
      </w:r>
    </w:p>
    <w:p>
      <w:pPr>
        <w:spacing w:line="360" w:lineRule="auto"/>
        <w:ind w:firstLine="480" w:firstLineChars="200"/>
        <w:rPr>
          <w:rFonts w:ascii="Times New Roman" w:hAnsi="Times New Roman"/>
          <w:sz w:val="24"/>
        </w:rPr>
      </w:pPr>
      <w:r>
        <w:rPr>
          <w:rFonts w:hint="eastAsia" w:ascii="Times New Roman" w:hAnsi="Times New Roman"/>
          <w:sz w:val="24"/>
        </w:rPr>
        <w:t>1.定点医疗机构编码标准管理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通过同步国家局定点医疗机构编码标准，对定点医疗机构编码新增、变更等维护。</w:t>
      </w:r>
    </w:p>
    <w:p>
      <w:pPr>
        <w:spacing w:line="360" w:lineRule="auto"/>
        <w:ind w:firstLine="480" w:firstLineChars="200"/>
        <w:rPr>
          <w:rFonts w:ascii="Times New Roman" w:hAnsi="Times New Roman"/>
          <w:sz w:val="24"/>
        </w:rPr>
      </w:pPr>
      <w:r>
        <w:rPr>
          <w:rFonts w:hint="eastAsia" w:ascii="Times New Roman" w:hAnsi="Times New Roman"/>
          <w:sz w:val="24"/>
        </w:rPr>
        <w:t>2.医保定点零售药店编码标准管理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通过同步国家局定点零售药店编码标准，对零售药店编码标准新增、变更等维护管理。</w:t>
      </w:r>
    </w:p>
    <w:p>
      <w:pPr>
        <w:spacing w:line="360" w:lineRule="auto"/>
        <w:ind w:firstLine="480" w:firstLineChars="200"/>
        <w:rPr>
          <w:rFonts w:ascii="Times New Roman" w:hAnsi="Times New Roman"/>
          <w:sz w:val="24"/>
        </w:rPr>
      </w:pPr>
      <w:r>
        <w:rPr>
          <w:rFonts w:hint="eastAsia" w:ascii="Times New Roman" w:hAnsi="Times New Roman"/>
          <w:sz w:val="24"/>
        </w:rPr>
        <w:t>3.参保单位信息管理</w:t>
      </w:r>
    </w:p>
    <w:p>
      <w:pPr>
        <w:spacing w:line="360" w:lineRule="auto"/>
        <w:ind w:firstLine="480" w:firstLineChars="200"/>
        <w:rPr>
          <w:rFonts w:ascii="Times New Roman" w:hAnsi="Times New Roman"/>
          <w:sz w:val="24"/>
        </w:rPr>
      </w:pPr>
      <w:r>
        <w:rPr>
          <w:rFonts w:hint="eastAsia" w:ascii="Times New Roman" w:hAnsi="Times New Roman"/>
          <w:sz w:val="24"/>
        </w:rPr>
        <w:t>对参保单位信息进行新增、变更处理，供其他业务子系统调取。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4.基层组织信息管理</w:t>
      </w:r>
    </w:p>
    <w:p>
      <w:pPr>
        <w:spacing w:line="360" w:lineRule="auto"/>
        <w:ind w:firstLine="480" w:firstLineChars="200"/>
        <w:rPr>
          <w:rFonts w:ascii="Times New Roman" w:hAnsi="Times New Roman"/>
          <w:sz w:val="24"/>
        </w:rPr>
      </w:pPr>
      <w:r>
        <w:rPr>
          <w:rFonts w:hint="eastAsia" w:ascii="Times New Roman" w:hAnsi="Times New Roman"/>
          <w:sz w:val="24"/>
        </w:rPr>
        <w:t>对医保经办人员登记的街道/乡镇、社区、居委会/村委会信息、学校等信息进行新增、变更处理，供其他业务子系统调取。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5.医保经办机构编码标准管理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通过同步国家局医保经办机构编码标准，对医保经办机构编码标准进行新增、变更等维护管理。</w:t>
      </w:r>
    </w:p>
    <w:p>
      <w:pPr>
        <w:spacing w:line="360" w:lineRule="auto"/>
        <w:ind w:firstLine="480" w:firstLineChars="200"/>
        <w:rPr>
          <w:rFonts w:ascii="Times New Roman" w:hAnsi="Times New Roman"/>
          <w:sz w:val="24"/>
        </w:rPr>
      </w:pPr>
      <w:r>
        <w:rPr>
          <w:rFonts w:hint="eastAsia" w:ascii="Times New Roman" w:hAnsi="Times New Roman"/>
          <w:sz w:val="24"/>
        </w:rPr>
        <w:t>6.生产、配送、代理企业信息管理</w:t>
      </w:r>
    </w:p>
    <w:p>
      <w:pPr>
        <w:spacing w:line="360" w:lineRule="auto"/>
        <w:ind w:firstLine="480" w:firstLineChars="200"/>
        <w:rPr>
          <w:rFonts w:ascii="Times New Roman" w:hAnsi="Times New Roman"/>
          <w:sz w:val="24"/>
        </w:rPr>
      </w:pPr>
      <w:r>
        <w:rPr>
          <w:rFonts w:hint="eastAsia" w:ascii="Times New Roman" w:hAnsi="Times New Roman"/>
          <w:sz w:val="24"/>
        </w:rPr>
        <w:t>实现生产、配送、代理企业信息的登记，对企业信息进行赋码，赋码后将新增的企业信息上报到国家局。</w:t>
      </w:r>
    </w:p>
    <w:p>
      <w:pPr>
        <w:spacing w:line="360" w:lineRule="auto"/>
        <w:ind w:firstLine="480" w:firstLineChars="200"/>
        <w:rPr>
          <w:rFonts w:ascii="Times New Roman" w:hAnsi="Times New Roman"/>
          <w:sz w:val="24"/>
        </w:rPr>
      </w:pPr>
      <w:r>
        <w:rPr>
          <w:rFonts w:hint="eastAsia" w:ascii="Times New Roman" w:hAnsi="Times New Roman"/>
          <w:sz w:val="24"/>
        </w:rPr>
        <w:t>7.单位证照信息管理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通过同步国家局参保单位证照编码标准，对参保单位证照信息进行新增、变更处理，供其他业务子系统调取。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8.单位法人信息管理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通过同步国家局参保单位法人编码标准，对参保单位法人信息进行新增、变更处理，供其他业务子系统调取。</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人员信息管理</w:t>
      </w:r>
    </w:p>
    <w:p>
      <w:pPr>
        <w:spacing w:line="360" w:lineRule="auto"/>
        <w:ind w:firstLine="480" w:firstLineChars="200"/>
        <w:rPr>
          <w:rFonts w:ascii="Times New Roman" w:hAnsi="Times New Roman"/>
          <w:sz w:val="24"/>
        </w:rPr>
      </w:pPr>
      <w:r>
        <w:rPr>
          <w:rFonts w:hint="eastAsia" w:ascii="Times New Roman" w:hAnsi="Times New Roman"/>
          <w:sz w:val="24"/>
        </w:rPr>
        <w:t>1.参保人员信息管理</w:t>
      </w:r>
    </w:p>
    <w:p>
      <w:pPr>
        <w:spacing w:line="360" w:lineRule="auto"/>
        <w:ind w:firstLine="480" w:firstLineChars="200"/>
        <w:rPr>
          <w:rFonts w:ascii="Times New Roman" w:hAnsi="Times New Roman"/>
          <w:sz w:val="24"/>
        </w:rPr>
      </w:pPr>
      <w:r>
        <w:rPr>
          <w:rFonts w:hint="eastAsia" w:ascii="Times New Roman" w:hAnsi="Times New Roman"/>
          <w:sz w:val="24"/>
        </w:rPr>
        <w:t>对参保人员信息进行新增、变更处理，供其他业务子系统调取。</w:t>
      </w:r>
    </w:p>
    <w:p>
      <w:pPr>
        <w:spacing w:line="360" w:lineRule="auto"/>
        <w:ind w:firstLine="480" w:firstLineChars="200"/>
        <w:rPr>
          <w:rFonts w:ascii="Times New Roman" w:hAnsi="Times New Roman"/>
          <w:sz w:val="24"/>
        </w:rPr>
      </w:pPr>
      <w:r>
        <w:rPr>
          <w:rFonts w:hint="eastAsia" w:ascii="Times New Roman" w:hAnsi="Times New Roman"/>
          <w:sz w:val="24"/>
        </w:rPr>
        <w:t>2.人员身份属性管理</w:t>
      </w:r>
    </w:p>
    <w:p>
      <w:pPr>
        <w:spacing w:line="360" w:lineRule="auto"/>
        <w:ind w:firstLine="480" w:firstLineChars="200"/>
        <w:rPr>
          <w:rFonts w:ascii="Times New Roman" w:hAnsi="Times New Roman"/>
          <w:sz w:val="24"/>
        </w:rPr>
      </w:pPr>
      <w:r>
        <w:rPr>
          <w:rFonts w:hint="eastAsia" w:ascii="Times New Roman" w:hAnsi="Times New Roman"/>
          <w:sz w:val="24"/>
        </w:rPr>
        <w:t>即所有服务对象的基础信息，包括所有劳动者、参保人员、各类人事人才管理服务对象。具体有人员的自然属性信息（医疗保障号码、公民身份号码、姓名、民族、性别、出生日期、出生地、户籍所在地行政区划代码、户籍地址、居住地址、通信地址、照片、联系电话、手机等）、医疗保障基本状态信息（如参保地、参保状态、离退休状态、生存状态等）。</w:t>
      </w:r>
    </w:p>
    <w:p>
      <w:pPr>
        <w:spacing w:line="360" w:lineRule="auto"/>
        <w:ind w:firstLine="480" w:firstLineChars="200"/>
        <w:rPr>
          <w:rFonts w:ascii="Times New Roman" w:hAnsi="Times New Roman"/>
          <w:sz w:val="24"/>
        </w:rPr>
      </w:pPr>
      <w:r>
        <w:rPr>
          <w:rFonts w:hint="eastAsia" w:ascii="Times New Roman" w:hAnsi="Times New Roman"/>
          <w:sz w:val="24"/>
        </w:rPr>
        <w:t>3.医保医师编码标准管理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通过同步国家局医保医师编码标准，对医保医师编码标准进行新增、变更等维护。</w:t>
      </w:r>
    </w:p>
    <w:p>
      <w:pPr>
        <w:spacing w:line="360" w:lineRule="auto"/>
        <w:ind w:firstLine="480" w:firstLineChars="200"/>
        <w:rPr>
          <w:rFonts w:ascii="Times New Roman" w:hAnsi="Times New Roman"/>
          <w:sz w:val="24"/>
        </w:rPr>
      </w:pPr>
      <w:r>
        <w:rPr>
          <w:rFonts w:hint="eastAsia" w:ascii="Times New Roman" w:hAnsi="Times New Roman"/>
          <w:sz w:val="24"/>
        </w:rPr>
        <w:t>4.医保护士编码标准管理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通过同步国家局医保护士编码标准，对医保护士编码标准、变更等维护管理。</w:t>
      </w:r>
    </w:p>
    <w:p>
      <w:pPr>
        <w:spacing w:line="360" w:lineRule="auto"/>
        <w:ind w:firstLine="480" w:firstLineChars="200"/>
        <w:rPr>
          <w:rFonts w:ascii="Times New Roman" w:hAnsi="Times New Roman"/>
          <w:sz w:val="24"/>
        </w:rPr>
      </w:pPr>
      <w:r>
        <w:rPr>
          <w:rFonts w:hint="eastAsia" w:ascii="Times New Roman" w:hAnsi="Times New Roman"/>
          <w:sz w:val="24"/>
        </w:rPr>
        <w:t>5.医保药师编码标准管理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通过同步国家局医保医师编码标准，对医保医师编码标准新增、变更等维护管理。</w:t>
      </w:r>
    </w:p>
    <w:p>
      <w:pPr>
        <w:spacing w:line="360" w:lineRule="auto"/>
        <w:ind w:firstLine="480" w:firstLineChars="200"/>
        <w:rPr>
          <w:rFonts w:ascii="Times New Roman" w:hAnsi="Times New Roman"/>
          <w:sz w:val="24"/>
        </w:rPr>
      </w:pPr>
      <w:r>
        <w:rPr>
          <w:rFonts w:hint="eastAsia" w:ascii="Times New Roman" w:hAnsi="Times New Roman"/>
          <w:sz w:val="24"/>
        </w:rPr>
        <w:t>6.医保经办人员编码标准管理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通过同步国家局医保经办人员编码标准，对医保经办人员编码标准进行新增、变更等维护管理。</w:t>
      </w:r>
    </w:p>
    <w:p>
      <w:pPr>
        <w:spacing w:line="360" w:lineRule="auto"/>
        <w:ind w:firstLine="480" w:firstLineChars="200"/>
        <w:rPr>
          <w:rFonts w:ascii="Times New Roman" w:hAnsi="Times New Roman"/>
          <w:sz w:val="24"/>
        </w:rPr>
      </w:pPr>
      <w:r>
        <w:rPr>
          <w:rFonts w:hint="eastAsia" w:ascii="Times New Roman" w:hAnsi="Times New Roman"/>
          <w:sz w:val="24"/>
        </w:rPr>
        <w:t>7.医保医技人员编码标准管理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通过同步国家局医保医技人员编码标准，对医保医技人员编码标准进行新增、变更等维护管理。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专家库管理</w:t>
      </w:r>
    </w:p>
    <w:p>
      <w:pPr>
        <w:spacing w:line="360" w:lineRule="auto"/>
        <w:ind w:firstLine="480" w:firstLineChars="200"/>
        <w:rPr>
          <w:rFonts w:ascii="Times New Roman" w:hAnsi="Times New Roman"/>
          <w:sz w:val="24"/>
        </w:rPr>
      </w:pPr>
      <w:r>
        <w:rPr>
          <w:rFonts w:hint="eastAsia" w:ascii="Times New Roman" w:hAnsi="Times New Roman"/>
          <w:sz w:val="24"/>
        </w:rPr>
        <w:t>专家库管理是通过建设专家库，对各领域各专业的专家进行统计，通过推荐、抽取、退出等机制完成专家项目的管理。专家库管理至少要包括实现专家申报管理、专家抽取管理、通知管理、专家库基本管理、退出管理、专家库与研究基地对接等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医疗救助管理</w:t>
      </w:r>
    </w:p>
    <w:p>
      <w:pPr>
        <w:spacing w:line="360" w:lineRule="auto"/>
        <w:ind w:firstLine="480" w:firstLineChars="200"/>
        <w:rPr>
          <w:rFonts w:ascii="Times New Roman" w:hAnsi="Times New Roman"/>
          <w:sz w:val="24"/>
        </w:rPr>
      </w:pPr>
      <w:r>
        <w:rPr>
          <w:rFonts w:hint="eastAsia" w:ascii="Times New Roman" w:hAnsi="Times New Roman"/>
          <w:sz w:val="24"/>
        </w:rPr>
        <w:t>1.医疗救助目录管理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疗救助目录，对医疗救助目录进行新增、变更等维护管理。分人群进行标识，分别为重点救助对象(低保、特困)、建档立卡贫困人口、低收入救助对象、因病致贫对象等，并对医疗救助目录信息进行新增和变更等维护。</w:t>
      </w:r>
    </w:p>
    <w:p>
      <w:pPr>
        <w:spacing w:line="360" w:lineRule="auto"/>
        <w:ind w:firstLine="480" w:firstLineChars="200"/>
        <w:rPr>
          <w:rFonts w:ascii="Times New Roman" w:hAnsi="Times New Roman"/>
          <w:sz w:val="24"/>
        </w:rPr>
      </w:pPr>
      <w:r>
        <w:rPr>
          <w:rFonts w:hint="eastAsia" w:ascii="Times New Roman" w:hAnsi="Times New Roman"/>
          <w:sz w:val="24"/>
        </w:rPr>
        <w:t>2.医疗救助对象管理</w:t>
      </w:r>
    </w:p>
    <w:p>
      <w:pPr>
        <w:spacing w:line="360" w:lineRule="auto"/>
        <w:ind w:firstLine="480" w:firstLineChars="200"/>
        <w:rPr>
          <w:rFonts w:ascii="Times New Roman" w:hAnsi="Times New Roman"/>
          <w:sz w:val="24"/>
        </w:rPr>
      </w:pPr>
      <w:r>
        <w:rPr>
          <w:rFonts w:hint="eastAsia" w:ascii="Times New Roman" w:hAnsi="Times New Roman"/>
          <w:sz w:val="24"/>
        </w:rPr>
        <w:t>为自治区各级医保经办人员对医保医疗救助对象进行新增，并提供查询服务。</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长期护理保险失能评估标准管理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通过同步国家局长期护理保险失能评估标准，对医保长期护理保险失能评估标准进行新增、变更等维护管理。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待遇参数管理</w:t>
      </w:r>
    </w:p>
    <w:p>
      <w:pPr>
        <w:spacing w:line="360" w:lineRule="auto"/>
        <w:ind w:firstLine="480" w:firstLineChars="200"/>
        <w:rPr>
          <w:rFonts w:ascii="Times New Roman" w:hAnsi="Times New Roman"/>
          <w:sz w:val="24"/>
        </w:rPr>
      </w:pPr>
      <w:r>
        <w:rPr>
          <w:rFonts w:hint="eastAsia" w:ascii="Times New Roman" w:hAnsi="Times New Roman"/>
          <w:sz w:val="24"/>
        </w:rPr>
        <w:t>1.医保结算清单数据标准管理</w:t>
      </w:r>
    </w:p>
    <w:p>
      <w:pPr>
        <w:spacing w:line="360" w:lineRule="auto"/>
        <w:ind w:firstLine="480" w:firstLineChars="200"/>
        <w:rPr>
          <w:rFonts w:ascii="Times New Roman" w:hAnsi="Times New Roman"/>
          <w:sz w:val="24"/>
        </w:rPr>
      </w:pPr>
      <w:r>
        <w:rPr>
          <w:rFonts w:hint="eastAsia" w:ascii="Times New Roman" w:hAnsi="Times New Roman"/>
          <w:sz w:val="24"/>
        </w:rPr>
        <w:t>通过同步国家局医保结算清单数据，对医保结算清单数据标准新增、变更等维护。</w:t>
      </w:r>
    </w:p>
    <w:p>
      <w:pPr>
        <w:spacing w:line="360" w:lineRule="auto"/>
        <w:ind w:firstLine="480" w:firstLineChars="200"/>
        <w:rPr>
          <w:rFonts w:ascii="Times New Roman" w:hAnsi="Times New Roman"/>
          <w:sz w:val="24"/>
        </w:rPr>
      </w:pPr>
      <w:r>
        <w:rPr>
          <w:rFonts w:hint="eastAsia" w:ascii="Times New Roman" w:hAnsi="Times New Roman"/>
          <w:sz w:val="24"/>
        </w:rPr>
        <w:t>2.待遇清单管理</w:t>
      </w:r>
    </w:p>
    <w:p>
      <w:pPr>
        <w:spacing w:line="360" w:lineRule="auto"/>
        <w:ind w:firstLine="480" w:firstLineChars="200"/>
        <w:rPr>
          <w:rFonts w:ascii="Times New Roman" w:hAnsi="Times New Roman"/>
          <w:sz w:val="24"/>
        </w:rPr>
      </w:pPr>
      <w:r>
        <w:rPr>
          <w:rFonts w:hint="eastAsia" w:ascii="Times New Roman" w:hAnsi="Times New Roman"/>
          <w:sz w:val="24"/>
        </w:rPr>
        <w:t>医疗保障待遇清单采取目录管理，包含基本医疗保障的基本制度（基本医疗保险，补充医疗保险，医疗救助）、基本政策（参保政策，筹资政策，待遇支付政策）、基金支付的项目和标准（药品目录，医疗服务项目和设施范围，支付标准），并明确统筹基金不予支付的范围。</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身份认证管理</w:t>
      </w:r>
    </w:p>
    <w:p>
      <w:pPr>
        <w:spacing w:line="360" w:lineRule="auto"/>
        <w:ind w:firstLine="480" w:firstLineChars="200"/>
        <w:rPr>
          <w:rFonts w:ascii="Times New Roman" w:hAnsi="Times New Roman"/>
          <w:sz w:val="24"/>
        </w:rPr>
      </w:pPr>
      <w:r>
        <w:rPr>
          <w:rFonts w:hint="eastAsia" w:ascii="Times New Roman" w:hAnsi="Times New Roman"/>
          <w:sz w:val="24"/>
        </w:rPr>
        <w:t>对医保身份进行验证以及登录医保相关系统进行登录身份认证，包括用户名/密码、CA、指纹、人脸、电子凭证。</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参保人个人电子凭证管理</w:t>
      </w:r>
    </w:p>
    <w:p>
      <w:pPr>
        <w:spacing w:line="360" w:lineRule="auto"/>
        <w:ind w:firstLine="480" w:firstLineChars="200"/>
        <w:rPr>
          <w:rFonts w:ascii="Times New Roman" w:hAnsi="Times New Roman"/>
          <w:sz w:val="24"/>
        </w:rPr>
      </w:pPr>
      <w:r>
        <w:rPr>
          <w:rFonts w:hint="eastAsia" w:ascii="Times New Roman" w:hAnsi="Times New Roman"/>
          <w:sz w:val="24"/>
        </w:rPr>
        <w:t>保存唯一标识参保人个人身份信息的个人电子凭证（根据个人电子凭证标识的编码规则），绑定个人身份信息（社保卡、身份证、医保个人账户以及其他身份属性信息），并对个人电子凭证信息进行加密和唯一性及真伪校验。同时，为参保人提供个人电子凭证（二维码）的分配。对个人电子凭证信息进行维护，并可通过扫描电子凭证二维码获取电子凭证绑定的信息。</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医保基础信息库管理</w:t>
      </w:r>
    </w:p>
    <w:p>
      <w:pPr>
        <w:spacing w:line="360" w:lineRule="auto"/>
        <w:ind w:firstLine="480" w:firstLineChars="200"/>
        <w:rPr>
          <w:rFonts w:ascii="Times New Roman" w:hAnsi="Times New Roman"/>
          <w:sz w:val="24"/>
        </w:rPr>
      </w:pPr>
      <w:r>
        <w:rPr>
          <w:rFonts w:hint="eastAsia" w:ascii="Times New Roman" w:hAnsi="Times New Roman"/>
          <w:sz w:val="24"/>
        </w:rPr>
        <w:t>1.信息初始化</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通过整合各级医保业务系统数据库、公安等外部库的数据，生成医保基础信息库。本功能主要初始化全量人口信息和参保人员的参保信息。对于全量人口信息，从公安人口库等外部库通过数据交换的形式获得。对于参保人员的参保信息，可以抽取自治区、各地州市医保数据库的基础信息和参保信息生成。</w:t>
      </w:r>
    </w:p>
    <w:p>
      <w:pPr>
        <w:spacing w:line="360" w:lineRule="auto"/>
        <w:ind w:firstLine="480" w:firstLineChars="200"/>
        <w:rPr>
          <w:rFonts w:ascii="Times New Roman" w:hAnsi="Times New Roman"/>
          <w:sz w:val="24"/>
        </w:rPr>
      </w:pPr>
      <w:r>
        <w:rPr>
          <w:rFonts w:hint="eastAsia" w:ascii="Times New Roman" w:hAnsi="Times New Roman"/>
          <w:sz w:val="24"/>
        </w:rPr>
        <w:t>2.信息比对</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通过整合医保基础信息库的人员信息、参保信息，通过与国家局掌握的跨省异地参保人员信息的比对，生成自治区户籍人员应参未参信息。</w:t>
      </w:r>
    </w:p>
    <w:p>
      <w:pPr>
        <w:spacing w:line="360" w:lineRule="auto"/>
        <w:ind w:firstLine="480" w:firstLineChars="200"/>
        <w:rPr>
          <w:rFonts w:ascii="Times New Roman" w:hAnsi="Times New Roman"/>
          <w:sz w:val="24"/>
        </w:rPr>
      </w:pPr>
      <w:r>
        <w:rPr>
          <w:rFonts w:hint="eastAsia" w:ascii="Times New Roman" w:hAnsi="Times New Roman"/>
          <w:sz w:val="24"/>
        </w:rPr>
        <w:t>3.更新维护</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建立与医保业务系统、国家医保全民参保登记库信息同步机制，定期对自治区医保基础信息库进行数据更新。</w:t>
      </w:r>
    </w:p>
    <w:p>
      <w:pPr>
        <w:spacing w:line="360" w:lineRule="auto"/>
        <w:ind w:firstLine="480" w:firstLineChars="200"/>
        <w:rPr>
          <w:rFonts w:ascii="Times New Roman" w:hAnsi="Times New Roman"/>
          <w:sz w:val="24"/>
        </w:rPr>
      </w:pPr>
      <w:r>
        <w:rPr>
          <w:rFonts w:hint="eastAsia" w:ascii="Times New Roman" w:hAnsi="Times New Roman"/>
          <w:sz w:val="24"/>
        </w:rPr>
        <w:t>4.基础信息库管理</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医保基础信息库，包括人员基础信息、参保信息、单位信息、家庭信息等，应遵照规范对医保基础信息进行统一管理。</w:t>
      </w:r>
    </w:p>
    <w:p>
      <w:pPr>
        <w:spacing w:line="360" w:lineRule="auto"/>
        <w:ind w:firstLine="480" w:firstLineChars="200"/>
        <w:rPr>
          <w:rFonts w:ascii="Times New Roman" w:hAnsi="Times New Roman"/>
          <w:sz w:val="24"/>
        </w:rPr>
      </w:pPr>
      <w:r>
        <w:rPr>
          <w:rFonts w:hint="eastAsia" w:ascii="Times New Roman" w:hAnsi="Times New Roman"/>
          <w:sz w:val="24"/>
        </w:rPr>
        <w:t>5.接口管理</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接口管理功能解决跨省人员参保信息的获取问题，要求各省在做全民参保登记信息初始化及变更信息同步工作时，将外省户籍人员在自治区的参保信息上传到国家局全民参保登记数据库中，以方便其它省份建设省级全民参保登记数据库的需要，同时可从国家局全民参保登记数据库中获取自治区户籍人员在外省的参保信息。省级用户利用国家局核查信息上报接口定期将已审核通过的核查信息上传到国家局全民参保登记数据库中。</w:t>
      </w:r>
    </w:p>
    <w:p>
      <w:pPr>
        <w:spacing w:line="360" w:lineRule="auto"/>
        <w:ind w:firstLine="480" w:firstLineChars="200"/>
        <w:rPr>
          <w:rFonts w:ascii="Times New Roman" w:hAnsi="Times New Roman"/>
          <w:sz w:val="24"/>
        </w:rPr>
      </w:pPr>
      <w:r>
        <w:rPr>
          <w:rFonts w:hint="eastAsia" w:ascii="Times New Roman" w:hAnsi="Times New Roman"/>
          <w:sz w:val="24"/>
        </w:rPr>
        <w:t>6.统计分析</w:t>
      </w:r>
    </w:p>
    <w:p>
      <w:pPr>
        <w:spacing w:line="360" w:lineRule="auto"/>
        <w:ind w:firstLine="480" w:firstLineChars="200"/>
        <w:rPr>
          <w:rFonts w:ascii="Times New Roman" w:hAnsi="Times New Roman"/>
          <w:kern w:val="0"/>
          <w:sz w:val="24"/>
          <w:szCs w:val="20"/>
          <w:lang w:val="zh-CN"/>
        </w:rPr>
      </w:pPr>
      <w:r>
        <w:rPr>
          <w:rFonts w:hint="eastAsia" w:ascii="Times New Roman" w:hAnsi="Times New Roman"/>
          <w:kern w:val="0"/>
          <w:sz w:val="24"/>
          <w:szCs w:val="20"/>
          <w:lang w:val="zh-CN"/>
        </w:rPr>
        <w:t>支持各级对全民参保登记信息的查询与统计功能。提供指定报表的定制和方便灵活的统计分析功能，以及丰富的数据展现形式。深入挖掘数据的潜在价值，为全民参保业务监控、决策分析提供强有力的数据支撑。</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医保核心业务经办子系统功能要求</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自治区按照国家标准搭建医疗保障核心业务经办系统，全疆制定统一的规范。医保核心业务子系统是支撑医保业务日常经办的核心系统，对参保单位和人员进行参保、备案及待遇享受资格管理，对医保目录和标准进行管理，管理定点医药机构协议，支持各种人群在定点医药服务机构和照护机构进行医保、生育、长期照护、医疗救助费用的即时结算，对定点医药服务机构的违规行为进行监管处罚，并对定点医药机构和照护机构费用进行结算管理，实现业务财务数据一体化。实现医保档案影像数字化目标，并与商保、银行交互联动的一体化业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医保核心业务经办子系统架构如下：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6466205"/>
            <wp:effectExtent l="0" t="0" r="2540" b="1079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6466205"/>
                    </a:xfrm>
                    <a:prstGeom prst="rect">
                      <a:avLst/>
                    </a:prstGeom>
                    <a:noFill/>
                    <a:ln>
                      <a:noFill/>
                    </a:ln>
                  </pic:spPr>
                </pic:pic>
              </a:graphicData>
            </a:graphic>
          </wp:inline>
        </w:drawing>
      </w:r>
    </w:p>
    <w:p>
      <w:pPr>
        <w:spacing w:line="360" w:lineRule="auto"/>
        <w:jc w:val="center"/>
        <w:rPr>
          <w:rFonts w:ascii="Times New Roman" w:hAnsi="Times New Roman" w:eastAsia="黑体"/>
        </w:rPr>
      </w:pPr>
      <w:r>
        <w:rPr>
          <w:rFonts w:ascii="Times New Roman" w:hAnsi="Times New Roman" w:eastAsia="黑体"/>
        </w:rPr>
        <w:t xml:space="preserve">图 </w:t>
      </w:r>
      <w:r>
        <w:rPr>
          <w:rFonts w:ascii="Times New Roman" w:hAnsi="Times New Roman" w:eastAsia="黑体"/>
        </w:rPr>
        <w:fldChar w:fldCharType="begin"/>
      </w:r>
      <w:r>
        <w:rPr>
          <w:rFonts w:ascii="Times New Roman" w:hAnsi="Times New Roman" w:eastAsia="黑体"/>
        </w:rPr>
        <w:instrText xml:space="preserve"> STYLEREF 2 \s </w:instrText>
      </w:r>
      <w:r>
        <w:rPr>
          <w:rFonts w:ascii="Times New Roman" w:hAnsi="Times New Roman" w:eastAsia="黑体"/>
        </w:rPr>
        <w:fldChar w:fldCharType="separate"/>
      </w:r>
      <w:r>
        <w:rPr>
          <w:rFonts w:ascii="Times New Roman" w:hAnsi="Times New Roman" w:eastAsia="黑体"/>
        </w:rPr>
        <w:t>0</w:t>
      </w:r>
      <w:r>
        <w:rPr>
          <w:rFonts w:ascii="Times New Roman" w:hAnsi="Times New Roman" w:eastAsia="黑体"/>
        </w:rPr>
        <w:fldChar w:fldCharType="end"/>
      </w:r>
      <w:r>
        <w:rPr>
          <w:rFonts w:ascii="Times New Roman" w:hAnsi="Times New Roman" w:eastAsia="黑体"/>
        </w:rPr>
        <w:noBreakHyphen/>
      </w:r>
      <w:r>
        <w:rPr>
          <w:rFonts w:ascii="Times New Roman" w:hAnsi="Times New Roman" w:eastAsia="黑体"/>
        </w:rPr>
        <w:fldChar w:fldCharType="begin"/>
      </w:r>
      <w:r>
        <w:rPr>
          <w:rFonts w:ascii="Times New Roman" w:hAnsi="Times New Roman" w:eastAsia="黑体"/>
        </w:rPr>
        <w:instrText xml:space="preserve"> SEQ 图 \* ARABIC \s 2 </w:instrText>
      </w:r>
      <w:r>
        <w:rPr>
          <w:rFonts w:ascii="Times New Roman" w:hAnsi="Times New Roman" w:eastAsia="黑体"/>
        </w:rPr>
        <w:fldChar w:fldCharType="separate"/>
      </w:r>
      <w:r>
        <w:rPr>
          <w:rFonts w:ascii="Times New Roman" w:hAnsi="Times New Roman" w:eastAsia="黑体"/>
        </w:rPr>
        <w:t>2</w:t>
      </w:r>
      <w:r>
        <w:rPr>
          <w:rFonts w:ascii="Times New Roman" w:hAnsi="Times New Roman" w:eastAsia="黑体"/>
        </w:rPr>
        <w:fldChar w:fldCharType="end"/>
      </w:r>
      <w:r>
        <w:rPr>
          <w:rFonts w:hint="eastAsia" w:ascii="Times New Roman" w:hAnsi="Times New Roman" w:eastAsia="黑体"/>
        </w:rPr>
        <w:t>医保核心业务经办子系统架构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医保目录同步管理</w:t>
      </w:r>
    </w:p>
    <w:p>
      <w:pPr>
        <w:spacing w:line="360" w:lineRule="auto"/>
        <w:ind w:firstLine="480" w:firstLineChars="200"/>
        <w:rPr>
          <w:rFonts w:ascii="Times New Roman" w:hAnsi="Times New Roman"/>
          <w:sz w:val="24"/>
        </w:rPr>
      </w:pPr>
      <w:r>
        <w:rPr>
          <w:rFonts w:hint="eastAsia" w:ascii="Times New Roman" w:hAnsi="Times New Roman"/>
          <w:sz w:val="24"/>
        </w:rPr>
        <w:t>通过对接基础信息管理子系统各功能模块，实现对医保目录、疾病诊断信息、门慢/门特标准、药品商品与医保目录匹配等进行维护管理。医保目录同步管理功能包含但不限于医保目录下载与同步管理（如维护药品、诊疗项目和服务设施的医疗保险基础目录等）、疾病诊断信息同步管理（如从医疗机构获取的诊断信息）、门慢/门特标准同步管理（如门慢/门特待遇标准）、药品商品与医保目录匹配管理（药品医保目录与定点医药机构药品商品信息进行对照匹配）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参保管理</w:t>
      </w:r>
    </w:p>
    <w:p>
      <w:pPr>
        <w:spacing w:line="360" w:lineRule="auto"/>
        <w:ind w:firstLine="480" w:firstLineChars="200"/>
        <w:rPr>
          <w:rFonts w:ascii="Times New Roman" w:hAnsi="Times New Roman"/>
          <w:sz w:val="24"/>
        </w:rPr>
      </w:pPr>
      <w:r>
        <w:rPr>
          <w:rFonts w:hint="eastAsia" w:ascii="Times New Roman" w:hAnsi="Times New Roman"/>
          <w:sz w:val="24"/>
        </w:rPr>
        <w:t>对新疆维吾尔自治区的所有参保人员进行管理，所有参保通过此模块进行维护，接收综合柜员制提供的受理数据，完成业务办理。参保管理模块包含但不限于以下功能：</w:t>
      </w:r>
    </w:p>
    <w:p>
      <w:pPr>
        <w:spacing w:line="360" w:lineRule="auto"/>
        <w:ind w:firstLine="480" w:firstLineChars="200"/>
        <w:rPr>
          <w:rFonts w:ascii="Times New Roman" w:hAnsi="Times New Roman"/>
          <w:sz w:val="24"/>
        </w:rPr>
      </w:pPr>
      <w:r>
        <w:rPr>
          <w:rFonts w:hint="eastAsia" w:ascii="Times New Roman" w:hAnsi="Times New Roman"/>
          <w:sz w:val="24"/>
        </w:rPr>
        <w:t>1.职工医保单位参保</w:t>
      </w:r>
    </w:p>
    <w:p>
      <w:pPr>
        <w:spacing w:line="360" w:lineRule="auto"/>
        <w:ind w:firstLine="480" w:firstLineChars="200"/>
        <w:rPr>
          <w:rFonts w:ascii="Times New Roman" w:hAnsi="Times New Roman"/>
          <w:sz w:val="24"/>
        </w:rPr>
      </w:pPr>
      <w:r>
        <w:rPr>
          <w:rFonts w:hint="eastAsia" w:ascii="Times New Roman" w:hAnsi="Times New Roman"/>
          <w:sz w:val="24"/>
        </w:rPr>
        <w:t>对参加职工医保的参保单位、参保职工的参保信息进行维护，并将参保单位、参保职工的基础信息和参保信息同步共享给税务部门，包含但不限于单位参保管理、参保职工信息管理、城镇职工个人身份参保、个体灵活就业身份参保、参保缴费确认管理、退休年限认定管理、个人账户管理、公务员医疗补助身份信息维护、医疗生育保险管理、关系转移接续、跨险种参保管理等。</w:t>
      </w:r>
    </w:p>
    <w:p>
      <w:pPr>
        <w:spacing w:line="360" w:lineRule="auto"/>
        <w:ind w:firstLine="480" w:firstLineChars="200"/>
        <w:rPr>
          <w:rFonts w:ascii="Times New Roman" w:hAnsi="Times New Roman"/>
          <w:sz w:val="24"/>
        </w:rPr>
      </w:pPr>
      <w:r>
        <w:rPr>
          <w:rFonts w:hint="eastAsia" w:ascii="Times New Roman" w:hAnsi="Times New Roman"/>
          <w:sz w:val="24"/>
        </w:rPr>
        <w:t>2.城乡居民参保</w:t>
      </w:r>
    </w:p>
    <w:p>
      <w:pPr>
        <w:spacing w:line="360" w:lineRule="auto"/>
        <w:ind w:firstLine="480" w:firstLineChars="200"/>
        <w:rPr>
          <w:rFonts w:ascii="Times New Roman" w:hAnsi="Times New Roman"/>
          <w:sz w:val="24"/>
        </w:rPr>
      </w:pPr>
      <w:r>
        <w:rPr>
          <w:rFonts w:hint="eastAsia" w:ascii="Times New Roman" w:hAnsi="Times New Roman"/>
          <w:sz w:val="24"/>
        </w:rPr>
        <w:t>对居民（包括城乡居民、新生儿、大学生等）的参保信息进行登记及相关管理（如停保、续保、死亡、调转等），并将相关参保和变更信息同步共享给税务部门，包含但不限于居民参保管理、新生儿参保登记、大学生参保管理、居民参保信息维护、居民参保缴费管理、居民参保退费管理等。</w:t>
      </w:r>
    </w:p>
    <w:p>
      <w:pPr>
        <w:spacing w:line="360" w:lineRule="auto"/>
        <w:ind w:firstLine="480" w:firstLineChars="200"/>
        <w:rPr>
          <w:rFonts w:ascii="Times New Roman" w:hAnsi="Times New Roman"/>
          <w:sz w:val="24"/>
        </w:rPr>
      </w:pPr>
      <w:r>
        <w:rPr>
          <w:rFonts w:hint="eastAsia" w:ascii="Times New Roman" w:hAnsi="Times New Roman"/>
          <w:sz w:val="24"/>
        </w:rPr>
        <w:t>3.特殊人群医保</w:t>
      </w:r>
    </w:p>
    <w:p>
      <w:pPr>
        <w:spacing w:line="360" w:lineRule="auto"/>
        <w:ind w:firstLine="480" w:firstLineChars="200"/>
        <w:rPr>
          <w:rFonts w:ascii="Times New Roman" w:hAnsi="Times New Roman"/>
          <w:sz w:val="24"/>
        </w:rPr>
      </w:pPr>
      <w:r>
        <w:rPr>
          <w:rFonts w:hint="eastAsia" w:ascii="Times New Roman" w:hAnsi="Times New Roman"/>
          <w:sz w:val="24"/>
        </w:rPr>
        <w:t>对医疗救助对象（包含低保对象、特困供养人员、城乡孤儿、低收入救助对象和因病致贫家庭重病患者等），其他特殊人员（如离休人员、军转人员等）等特殊参保人群的参保进行管理。包含医疗救助对象参保管理、其他特殊人员参保管理、特殊人员缴费管理等。</w:t>
      </w:r>
    </w:p>
    <w:p>
      <w:pPr>
        <w:spacing w:line="360" w:lineRule="auto"/>
        <w:ind w:firstLine="480" w:firstLineChars="200"/>
        <w:rPr>
          <w:rFonts w:ascii="Times New Roman" w:hAnsi="Times New Roman"/>
          <w:sz w:val="24"/>
        </w:rPr>
      </w:pPr>
      <w:r>
        <w:rPr>
          <w:rFonts w:hint="eastAsia" w:ascii="Times New Roman" w:hAnsi="Times New Roman"/>
          <w:sz w:val="24"/>
        </w:rPr>
        <w:t>4.征缴计划</w:t>
      </w:r>
    </w:p>
    <w:p>
      <w:pPr>
        <w:spacing w:line="360" w:lineRule="auto"/>
        <w:ind w:firstLine="480" w:firstLineChars="200"/>
        <w:rPr>
          <w:rFonts w:ascii="Times New Roman" w:hAnsi="Times New Roman"/>
          <w:sz w:val="24"/>
        </w:rPr>
      </w:pPr>
      <w:r>
        <w:rPr>
          <w:rFonts w:hint="eastAsia" w:ascii="Times New Roman" w:hAnsi="Times New Roman"/>
          <w:sz w:val="24"/>
        </w:rPr>
        <w:t>提供征缴计划制定、征缴计划生成、征缴确认、征缴结果管理等功能。支持对单位参保、个人身份参加城镇职工、特殊行业人员、破产/困难企业、城乡居民新生儿、大学生、长护险等，可按情况进行差额补缴、一次性趸缴、正常缴费、退费等相关缴费类型生成征缴计划，由医保经办机构制定征缴计划，并将单位征收计划传递到税务系统，由税务完成具体征收工作。</w:t>
      </w:r>
    </w:p>
    <w:p>
      <w:pPr>
        <w:spacing w:line="360" w:lineRule="auto"/>
        <w:ind w:firstLine="480" w:firstLineChars="200"/>
        <w:rPr>
          <w:rFonts w:ascii="Times New Roman" w:hAnsi="Times New Roman"/>
          <w:sz w:val="24"/>
        </w:rPr>
      </w:pPr>
      <w:r>
        <w:rPr>
          <w:rFonts w:hint="eastAsia" w:ascii="Times New Roman" w:hAnsi="Times New Roman"/>
          <w:sz w:val="24"/>
        </w:rPr>
        <w:t>支持税务部门定期将医保征缴明细数据发送给医保局，医保局基金组对征缴数据和财务数据进行对账确认。支持单位职工参保、个人身份参加职工保、居民参保等各种征缴结果，以税务提供的征缴数据进行核对，支持对征缴结果进行确认、查看和下载。</w:t>
      </w:r>
    </w:p>
    <w:p>
      <w:pPr>
        <w:spacing w:line="360" w:lineRule="auto"/>
        <w:ind w:firstLine="480" w:firstLineChars="200"/>
        <w:rPr>
          <w:rFonts w:ascii="Times New Roman" w:hAnsi="Times New Roman"/>
          <w:sz w:val="24"/>
        </w:rPr>
      </w:pPr>
      <w:r>
        <w:rPr>
          <w:rFonts w:hint="eastAsia" w:ascii="Times New Roman" w:hAnsi="Times New Roman"/>
          <w:sz w:val="24"/>
        </w:rPr>
        <w:t>5.参保人身份管理</w:t>
      </w:r>
    </w:p>
    <w:p>
      <w:pPr>
        <w:spacing w:line="360" w:lineRule="auto"/>
        <w:ind w:firstLine="480" w:firstLineChars="200"/>
        <w:rPr>
          <w:rFonts w:ascii="Times New Roman" w:hAnsi="Times New Roman"/>
          <w:sz w:val="24"/>
        </w:rPr>
      </w:pPr>
      <w:r>
        <w:rPr>
          <w:rFonts w:hint="eastAsia" w:ascii="Times New Roman" w:hAnsi="Times New Roman"/>
          <w:sz w:val="24"/>
        </w:rPr>
        <w:t>在参保人身份管理模块对医疗救助人员身份、民政救助身份、残疾人身份、建档立卡贫困户身份、公务员身份、长护身份以及其他参保人特殊身份等进行维护，并维护参保资助比例和资金来源。</w:t>
      </w:r>
    </w:p>
    <w:p>
      <w:pPr>
        <w:spacing w:line="360" w:lineRule="auto"/>
        <w:ind w:firstLine="480" w:firstLineChars="200"/>
        <w:rPr>
          <w:rFonts w:ascii="Times New Roman" w:hAnsi="Times New Roman"/>
          <w:sz w:val="24"/>
        </w:rPr>
      </w:pPr>
      <w:r>
        <w:rPr>
          <w:rFonts w:hint="eastAsia" w:ascii="Times New Roman" w:hAnsi="Times New Roman"/>
          <w:sz w:val="24"/>
        </w:rPr>
        <w:t>6.参保查询</w:t>
      </w:r>
    </w:p>
    <w:p>
      <w:pPr>
        <w:spacing w:line="360" w:lineRule="auto"/>
        <w:ind w:firstLine="480" w:firstLineChars="200"/>
        <w:rPr>
          <w:rFonts w:ascii="Times New Roman" w:hAnsi="Times New Roman"/>
          <w:sz w:val="24"/>
        </w:rPr>
      </w:pPr>
      <w:r>
        <w:rPr>
          <w:rFonts w:hint="eastAsia" w:ascii="Times New Roman" w:hAnsi="Times New Roman"/>
          <w:sz w:val="24"/>
        </w:rPr>
        <w:t>提供参保状态查询、单位参保信息查询与证明、参保年限查询、个人信息查询、缴费信息查询等。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跨省就医信息综合查询</w:t>
      </w:r>
    </w:p>
    <w:p>
      <w:pPr>
        <w:spacing w:line="360" w:lineRule="auto"/>
        <w:ind w:firstLine="480" w:firstLineChars="200"/>
        <w:rPr>
          <w:rFonts w:ascii="Times New Roman" w:hAnsi="Times New Roman"/>
          <w:sz w:val="24"/>
        </w:rPr>
      </w:pPr>
      <w:r>
        <w:rPr>
          <w:rFonts w:hint="eastAsia" w:ascii="Times New Roman" w:hAnsi="Times New Roman"/>
          <w:sz w:val="24"/>
        </w:rPr>
        <w:t>提供跨省就医信息综合查询功能，实现参保人跨省异地就医未备案或者申请未获得批准的情况下未能使用电子凭证、社保卡途径自费就医后返回本省报销结算；或者流动参保人在申请医疗救助或慢病资格时，参保地需要对参保人特定时间周期内在其他省份的就医信息进行综合查询。查询内容应包含参保人的医保缴费/结算信息、自费就医信息、票据真实性信息等。在参保地发起信息查询请求后，就异地提供标准格式的就医数据查询许可。</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医疗救助管理</w:t>
      </w:r>
    </w:p>
    <w:p>
      <w:pPr>
        <w:spacing w:line="360" w:lineRule="auto"/>
        <w:ind w:firstLine="480" w:firstLineChars="200"/>
        <w:rPr>
          <w:rFonts w:ascii="Times New Roman" w:hAnsi="Times New Roman"/>
          <w:sz w:val="24"/>
        </w:rPr>
      </w:pPr>
      <w:r>
        <w:rPr>
          <w:rFonts w:hint="eastAsia" w:ascii="Times New Roman" w:hAnsi="Times New Roman"/>
          <w:sz w:val="24"/>
        </w:rPr>
        <w:t>提供医疗救助管理功能，为贫困人员提供医疗保障。医疗救助管理包含但不限于医疗救助对象申请、医疗救助对象认证、医疗救助待遇追加、建档立卡精准扶贫人员管理、医疗救助参保监管、医疗救助支付等内容。</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个人待遇资格认定</w:t>
      </w:r>
    </w:p>
    <w:p>
      <w:pPr>
        <w:spacing w:line="360" w:lineRule="auto"/>
        <w:ind w:firstLine="480" w:firstLineChars="200"/>
        <w:rPr>
          <w:rFonts w:ascii="Times New Roman" w:hAnsi="Times New Roman"/>
          <w:sz w:val="24"/>
        </w:rPr>
      </w:pPr>
      <w:r>
        <w:rPr>
          <w:rFonts w:hint="eastAsia" w:ascii="Times New Roman" w:hAnsi="Times New Roman"/>
          <w:sz w:val="24"/>
        </w:rPr>
        <w:t>1.险种管理</w:t>
      </w:r>
    </w:p>
    <w:p>
      <w:pPr>
        <w:spacing w:line="360" w:lineRule="auto"/>
        <w:ind w:firstLine="480" w:firstLineChars="200"/>
        <w:rPr>
          <w:rFonts w:ascii="Times New Roman" w:hAnsi="Times New Roman"/>
          <w:sz w:val="24"/>
        </w:rPr>
      </w:pPr>
      <w:r>
        <w:rPr>
          <w:rFonts w:hint="eastAsia" w:ascii="Times New Roman" w:hAnsi="Times New Roman"/>
          <w:sz w:val="24"/>
        </w:rPr>
        <w:t>医疗保障险种管理主要针对城乡居民基本医疗保险、城镇职工基本医疗保险、公务员医疗补助、城镇职工大额医疗保险、城镇职工大病保险、城乡居民大病保险、长期护理保险、生育保险、医疗救助、医疗保障扶贫、离休和二级伤残、互助保险等，以及其他商业补充保险（大病、长护、扶贫）或需要新增的医疗保障类型等进行新增、维护，支持对接国家医疗保障信息平台进行险种的查看和使用。</w:t>
      </w:r>
    </w:p>
    <w:p>
      <w:pPr>
        <w:spacing w:line="360" w:lineRule="auto"/>
        <w:ind w:firstLine="480" w:firstLineChars="200"/>
        <w:rPr>
          <w:rFonts w:ascii="Times New Roman" w:hAnsi="Times New Roman"/>
          <w:sz w:val="24"/>
        </w:rPr>
      </w:pPr>
      <w:r>
        <w:rPr>
          <w:rFonts w:hint="eastAsia" w:ascii="Times New Roman" w:hAnsi="Times New Roman"/>
          <w:sz w:val="24"/>
        </w:rPr>
        <w:t>2.待遇规则管理</w:t>
      </w:r>
    </w:p>
    <w:p>
      <w:pPr>
        <w:spacing w:line="360" w:lineRule="auto"/>
        <w:ind w:firstLine="480" w:firstLineChars="200"/>
        <w:rPr>
          <w:rFonts w:ascii="Times New Roman" w:hAnsi="Times New Roman"/>
          <w:sz w:val="24"/>
        </w:rPr>
      </w:pPr>
      <w:r>
        <w:rPr>
          <w:rFonts w:hint="eastAsia" w:ascii="Times New Roman" w:hAnsi="Times New Roman"/>
          <w:sz w:val="24"/>
        </w:rPr>
        <w:t>系统支持与基础信息管理的待遇清单（险种信息）同步，支持政策公文的获取和管理、查看，并关联到待遇规则，支持待遇计算和查询时，提供政策公文的查看链接。</w:t>
      </w:r>
    </w:p>
    <w:p>
      <w:pPr>
        <w:spacing w:line="360" w:lineRule="auto"/>
        <w:ind w:firstLine="480" w:firstLineChars="200"/>
        <w:rPr>
          <w:rFonts w:ascii="Times New Roman" w:hAnsi="Times New Roman"/>
          <w:sz w:val="24"/>
        </w:rPr>
      </w:pPr>
      <w:r>
        <w:rPr>
          <w:rFonts w:hint="eastAsia" w:ascii="Times New Roman" w:hAnsi="Times New Roman"/>
          <w:sz w:val="24"/>
        </w:rPr>
        <w:t>3.待遇参数管理</w:t>
      </w:r>
    </w:p>
    <w:p>
      <w:pPr>
        <w:spacing w:line="360" w:lineRule="auto"/>
        <w:ind w:firstLine="480" w:firstLineChars="200"/>
        <w:rPr>
          <w:rFonts w:ascii="Times New Roman" w:hAnsi="Times New Roman"/>
          <w:sz w:val="24"/>
        </w:rPr>
      </w:pPr>
      <w:r>
        <w:rPr>
          <w:rFonts w:hint="eastAsia" w:ascii="Times New Roman" w:hAnsi="Times New Roman"/>
          <w:sz w:val="24"/>
        </w:rPr>
        <w:t>提供待遇规则待遇参数管理，支持医疗待遇参数维护和配置，包括待遇享受人群配置、待遇享受时间配置、待遇起付线设置、报销比例设置、报销限额设置、就诊医院或医院等级配置、就医行为等待遇规则参数配置，支持待遇规则的新增、启用、暂停、禁用、关联政策公文等。</w:t>
      </w:r>
    </w:p>
    <w:p>
      <w:pPr>
        <w:spacing w:line="360" w:lineRule="auto"/>
        <w:ind w:firstLine="480" w:firstLineChars="200"/>
        <w:rPr>
          <w:rFonts w:ascii="Times New Roman" w:hAnsi="Times New Roman"/>
          <w:sz w:val="24"/>
        </w:rPr>
      </w:pPr>
      <w:r>
        <w:rPr>
          <w:rFonts w:hint="eastAsia" w:ascii="Times New Roman" w:hAnsi="Times New Roman"/>
          <w:sz w:val="24"/>
        </w:rPr>
        <w:t>4.个人待遇申请审核管理</w:t>
      </w:r>
    </w:p>
    <w:p>
      <w:pPr>
        <w:spacing w:line="360" w:lineRule="auto"/>
        <w:ind w:firstLine="480" w:firstLineChars="200"/>
        <w:rPr>
          <w:rFonts w:ascii="Times New Roman" w:hAnsi="Times New Roman"/>
          <w:sz w:val="24"/>
        </w:rPr>
      </w:pPr>
      <w:r>
        <w:rPr>
          <w:rFonts w:hint="eastAsia" w:ascii="Times New Roman" w:hAnsi="Times New Roman"/>
          <w:sz w:val="24"/>
        </w:rPr>
        <w:t>提供参保人员的待遇申请通过窗口或线上进行受理，包括基本医疗待遇、生育待遇资格、特病待遇资格、转诊转院备案、家庭病床资格、长护待遇资格、医疗救助资格等个人待遇资格认定申请和审核，并根据实际情况进行意见反馈或个人待遇资格认定申请驳回与再次提交。</w:t>
      </w:r>
    </w:p>
    <w:p>
      <w:pPr>
        <w:spacing w:line="360" w:lineRule="auto"/>
        <w:ind w:firstLine="480" w:firstLineChars="200"/>
        <w:rPr>
          <w:rFonts w:ascii="Times New Roman" w:hAnsi="Times New Roman"/>
          <w:sz w:val="24"/>
        </w:rPr>
      </w:pPr>
      <w:r>
        <w:rPr>
          <w:rFonts w:hint="eastAsia" w:ascii="Times New Roman" w:hAnsi="Times New Roman"/>
          <w:sz w:val="24"/>
        </w:rPr>
        <w:t>5.个人待遇资格延长管理</w:t>
      </w:r>
    </w:p>
    <w:p>
      <w:pPr>
        <w:spacing w:line="360" w:lineRule="auto"/>
        <w:ind w:firstLine="480" w:firstLineChars="200"/>
        <w:rPr>
          <w:rFonts w:ascii="Times New Roman" w:hAnsi="Times New Roman"/>
          <w:sz w:val="24"/>
        </w:rPr>
      </w:pPr>
      <w:r>
        <w:rPr>
          <w:rFonts w:hint="eastAsia" w:ascii="Times New Roman" w:hAnsi="Times New Roman"/>
          <w:sz w:val="24"/>
        </w:rPr>
        <w:t>支持参保人或医药机构多渠道提交的个人待遇资格延长申请，经办人员对个人待遇资格认定审核进行办理，并根据实际情况进行意见反馈或个人待遇资格认定申请驳回与再次提交。</w:t>
      </w:r>
    </w:p>
    <w:p>
      <w:pPr>
        <w:spacing w:line="360" w:lineRule="auto"/>
        <w:ind w:firstLine="480" w:firstLineChars="200"/>
        <w:rPr>
          <w:rFonts w:ascii="Times New Roman" w:hAnsi="Times New Roman"/>
          <w:sz w:val="24"/>
        </w:rPr>
      </w:pPr>
      <w:r>
        <w:rPr>
          <w:rFonts w:hint="eastAsia" w:ascii="Times New Roman" w:hAnsi="Times New Roman"/>
          <w:sz w:val="24"/>
        </w:rPr>
        <w:t>6.个人待遇就医信息管理</w:t>
      </w:r>
    </w:p>
    <w:p>
      <w:pPr>
        <w:spacing w:line="360" w:lineRule="auto"/>
        <w:ind w:firstLine="480" w:firstLineChars="200"/>
        <w:rPr>
          <w:rFonts w:ascii="Times New Roman" w:hAnsi="Times New Roman"/>
          <w:sz w:val="24"/>
        </w:rPr>
      </w:pPr>
      <w:r>
        <w:rPr>
          <w:rFonts w:hint="eastAsia" w:ascii="Times New Roman" w:hAnsi="Times New Roman"/>
          <w:sz w:val="24"/>
        </w:rPr>
        <w:t>在待遇管理子系统个人待遇资格管理进行就医信息维护，包括个人待遇资格享受时间、特殊项目、药品使用资格等特殊就医信息的新增、变更等维护管理。</w:t>
      </w:r>
    </w:p>
    <w:p>
      <w:pPr>
        <w:spacing w:line="360" w:lineRule="auto"/>
        <w:ind w:firstLine="480" w:firstLineChars="200"/>
        <w:rPr>
          <w:rFonts w:ascii="Times New Roman" w:hAnsi="Times New Roman"/>
          <w:sz w:val="24"/>
        </w:rPr>
      </w:pPr>
      <w:r>
        <w:rPr>
          <w:rFonts w:hint="eastAsia" w:ascii="Times New Roman" w:hAnsi="Times New Roman"/>
          <w:sz w:val="24"/>
        </w:rPr>
        <w:t>7.个人医保待遇资格管理</w:t>
      </w:r>
    </w:p>
    <w:p>
      <w:pPr>
        <w:spacing w:line="360" w:lineRule="auto"/>
        <w:ind w:firstLine="480" w:firstLineChars="200"/>
        <w:rPr>
          <w:rFonts w:ascii="Times New Roman" w:hAnsi="Times New Roman"/>
          <w:sz w:val="24"/>
        </w:rPr>
      </w:pPr>
      <w:r>
        <w:rPr>
          <w:rFonts w:hint="eastAsia" w:ascii="Times New Roman" w:hAnsi="Times New Roman"/>
          <w:sz w:val="24"/>
        </w:rPr>
        <w:t>个人待遇资格申请审核通过后，根据实际情况提供个人待遇资格按就医信息的内容生效、失效、个人违规封锁等管理。</w:t>
      </w:r>
    </w:p>
    <w:p>
      <w:pPr>
        <w:spacing w:line="360" w:lineRule="auto"/>
        <w:ind w:firstLine="480" w:firstLineChars="200"/>
        <w:rPr>
          <w:rFonts w:ascii="Times New Roman" w:hAnsi="Times New Roman"/>
          <w:sz w:val="24"/>
        </w:rPr>
      </w:pPr>
      <w:r>
        <w:rPr>
          <w:rFonts w:hint="eastAsia" w:ascii="Times New Roman" w:hAnsi="Times New Roman"/>
          <w:sz w:val="24"/>
        </w:rPr>
        <w:t>8.待遇计算</w:t>
      </w:r>
    </w:p>
    <w:p>
      <w:pPr>
        <w:spacing w:line="360" w:lineRule="auto"/>
        <w:ind w:firstLine="480" w:firstLineChars="200"/>
        <w:rPr>
          <w:rFonts w:ascii="Times New Roman" w:hAnsi="Times New Roman"/>
          <w:sz w:val="24"/>
        </w:rPr>
      </w:pPr>
      <w:r>
        <w:rPr>
          <w:rFonts w:hint="eastAsia" w:ascii="Times New Roman" w:hAnsi="Times New Roman"/>
          <w:sz w:val="24"/>
        </w:rPr>
        <w:t>获取政策和待遇参数，为参保人提供待遇计算，包括对特殊群体（如离休、伤残等）以及公务员补充医疗等，对不同的参保群体的医保待遇计算进行单独管理和维护。</w:t>
      </w:r>
    </w:p>
    <w:p>
      <w:pPr>
        <w:spacing w:line="360" w:lineRule="auto"/>
        <w:ind w:firstLine="480" w:firstLineChars="200"/>
        <w:rPr>
          <w:rFonts w:ascii="Times New Roman" w:hAnsi="Times New Roman"/>
          <w:sz w:val="24"/>
        </w:rPr>
      </w:pPr>
      <w:r>
        <w:rPr>
          <w:rFonts w:hint="eastAsia" w:ascii="Times New Roman" w:hAnsi="Times New Roman"/>
          <w:sz w:val="24"/>
        </w:rPr>
        <w:t>9.个人待遇结算管理</w:t>
      </w:r>
    </w:p>
    <w:p>
      <w:pPr>
        <w:spacing w:line="360" w:lineRule="auto"/>
        <w:ind w:firstLine="480" w:firstLineChars="200"/>
        <w:rPr>
          <w:rFonts w:ascii="Times New Roman" w:hAnsi="Times New Roman"/>
          <w:sz w:val="24"/>
        </w:rPr>
      </w:pPr>
      <w:r>
        <w:rPr>
          <w:rFonts w:hint="eastAsia" w:ascii="Times New Roman" w:hAnsi="Times New Roman"/>
          <w:sz w:val="24"/>
        </w:rPr>
        <w:t>根据个人待遇计算的结果，为参保人提供个人待遇支付结算服务。</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定点医药机构管理</w:t>
      </w:r>
    </w:p>
    <w:p>
      <w:pPr>
        <w:spacing w:line="360" w:lineRule="auto"/>
        <w:ind w:firstLine="480" w:firstLineChars="200"/>
        <w:rPr>
          <w:rFonts w:ascii="Times New Roman" w:hAnsi="Times New Roman"/>
          <w:sz w:val="24"/>
        </w:rPr>
      </w:pPr>
      <w:r>
        <w:rPr>
          <w:rFonts w:hint="eastAsia" w:ascii="Times New Roman" w:hAnsi="Times New Roman"/>
          <w:sz w:val="24"/>
        </w:rPr>
        <w:t>用于对定点机构的协议管理，审核定点医药机构的资质，并对定点医药机构的从业人员进行维护管理。定点医药机构管理功能包含但不限于定点医药机构备案管理、医药机构定点审核、定点医药机构特殊资格认定管理、定点医药机构协议管理、定点医药机构标准匹配、定点医药机构服务维护、定点医药机构人员管理、定点医疗机构科室管理、定点医药机构考核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审核扣费</w:t>
      </w:r>
    </w:p>
    <w:p>
      <w:pPr>
        <w:spacing w:line="360" w:lineRule="auto"/>
        <w:ind w:firstLine="480" w:firstLineChars="200"/>
        <w:rPr>
          <w:rFonts w:ascii="Times New Roman" w:hAnsi="Times New Roman"/>
          <w:sz w:val="24"/>
        </w:rPr>
      </w:pPr>
      <w:r>
        <w:rPr>
          <w:rFonts w:hint="eastAsia" w:ascii="Times New Roman" w:hAnsi="Times New Roman"/>
          <w:sz w:val="24"/>
        </w:rPr>
        <w:t>根据智能审核、信用评价等推送过来信息，包括门诊审核、住院审核等对医药机构的违规行为进行扣款。</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定点医药机构结算管理</w:t>
      </w:r>
    </w:p>
    <w:p>
      <w:pPr>
        <w:spacing w:line="360" w:lineRule="auto"/>
        <w:ind w:firstLine="480" w:firstLineChars="200"/>
        <w:rPr>
          <w:rFonts w:ascii="Times New Roman" w:hAnsi="Times New Roman"/>
          <w:sz w:val="24"/>
        </w:rPr>
      </w:pPr>
      <w:r>
        <w:rPr>
          <w:rFonts w:hint="eastAsia" w:ascii="Times New Roman" w:hAnsi="Times New Roman"/>
          <w:sz w:val="24"/>
        </w:rPr>
        <w:t>此功能用于对定点机构的结算管理，定点机构通过发起结算申请，由医保经办机构审核结算数据，完成线上对账，实现电子化结算。包含但不限于以下内容：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1.对账管理</w:t>
      </w:r>
    </w:p>
    <w:p>
      <w:pPr>
        <w:spacing w:line="360" w:lineRule="auto"/>
        <w:ind w:firstLine="480" w:firstLineChars="200"/>
        <w:rPr>
          <w:rFonts w:ascii="Times New Roman" w:hAnsi="Times New Roman"/>
          <w:sz w:val="24"/>
        </w:rPr>
      </w:pPr>
      <w:r>
        <w:rPr>
          <w:rFonts w:hint="eastAsia" w:ascii="Times New Roman" w:hAnsi="Times New Roman"/>
          <w:sz w:val="24"/>
        </w:rPr>
        <w:t>对定点医药服务机构申报的费用信息与医保核心业务经办子系统的就医、住院及购药信息进行对账，对异常情况进行及时反馈处理。</w:t>
      </w:r>
    </w:p>
    <w:p>
      <w:pPr>
        <w:spacing w:line="360" w:lineRule="auto"/>
        <w:ind w:firstLine="480" w:firstLineChars="200"/>
        <w:rPr>
          <w:rFonts w:ascii="Times New Roman" w:hAnsi="Times New Roman"/>
          <w:sz w:val="24"/>
        </w:rPr>
      </w:pPr>
      <w:r>
        <w:rPr>
          <w:rFonts w:hint="eastAsia" w:ascii="Times New Roman" w:hAnsi="Times New Roman"/>
          <w:sz w:val="24"/>
        </w:rPr>
        <w:t>2.月结算</w:t>
      </w:r>
    </w:p>
    <w:p>
      <w:pPr>
        <w:spacing w:line="360" w:lineRule="auto"/>
        <w:ind w:firstLine="480" w:firstLineChars="200"/>
        <w:rPr>
          <w:rFonts w:ascii="Times New Roman" w:hAnsi="Times New Roman"/>
          <w:sz w:val="24"/>
        </w:rPr>
      </w:pPr>
      <w:r>
        <w:rPr>
          <w:rFonts w:hint="eastAsia" w:ascii="Times New Roman" w:hAnsi="Times New Roman"/>
          <w:sz w:val="24"/>
        </w:rPr>
        <w:t>根据各地的支付方式维护相关的结算参数，分险种、分结算类别对定点医药机构垫付的资金进行月度费用结算（包括保证金按比例扣除）。</w:t>
      </w:r>
    </w:p>
    <w:p>
      <w:pPr>
        <w:spacing w:line="360" w:lineRule="auto"/>
        <w:ind w:firstLine="480" w:firstLineChars="200"/>
        <w:rPr>
          <w:rFonts w:ascii="Times New Roman" w:hAnsi="Times New Roman"/>
          <w:sz w:val="24"/>
        </w:rPr>
      </w:pPr>
      <w:r>
        <w:rPr>
          <w:rFonts w:hint="eastAsia" w:ascii="Times New Roman" w:hAnsi="Times New Roman"/>
          <w:sz w:val="24"/>
        </w:rPr>
        <w:t>3.年度清算</w:t>
      </w:r>
    </w:p>
    <w:p>
      <w:pPr>
        <w:spacing w:line="360" w:lineRule="auto"/>
        <w:ind w:firstLine="480" w:firstLineChars="200"/>
        <w:rPr>
          <w:rFonts w:ascii="Times New Roman" w:hAnsi="Times New Roman"/>
          <w:sz w:val="24"/>
        </w:rPr>
      </w:pPr>
      <w:r>
        <w:rPr>
          <w:rFonts w:hint="eastAsia" w:ascii="Times New Roman" w:hAnsi="Times New Roman"/>
          <w:sz w:val="24"/>
        </w:rPr>
        <w:t>将定点医药机构年终清算方式和指标维护到系统中，系统根据清算方式自动生成年终清算数据。</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基金申请与收付确认</w:t>
      </w:r>
    </w:p>
    <w:p>
      <w:pPr>
        <w:spacing w:line="360" w:lineRule="auto"/>
        <w:ind w:firstLine="480" w:firstLineChars="200"/>
        <w:rPr>
          <w:rFonts w:ascii="Times New Roman" w:hAnsi="Times New Roman"/>
          <w:sz w:val="24"/>
        </w:rPr>
      </w:pPr>
      <w:r>
        <w:rPr>
          <w:rFonts w:hint="eastAsia" w:ascii="Times New Roman" w:hAnsi="Times New Roman"/>
          <w:sz w:val="24"/>
        </w:rPr>
        <w:t>1.财务记账确认</w:t>
      </w:r>
    </w:p>
    <w:p>
      <w:pPr>
        <w:spacing w:line="360" w:lineRule="auto"/>
        <w:ind w:firstLine="480" w:firstLineChars="200"/>
        <w:rPr>
          <w:rFonts w:ascii="Times New Roman" w:hAnsi="Times New Roman"/>
          <w:sz w:val="24"/>
        </w:rPr>
      </w:pPr>
      <w:r>
        <w:rPr>
          <w:rFonts w:hint="eastAsia" w:ascii="Times New Roman" w:hAnsi="Times New Roman"/>
          <w:sz w:val="24"/>
        </w:rPr>
        <w:t>根据基金财务管理反馈的银行收付回盘数据记录实际收付结果，对财务数据记账进行确认。</w:t>
      </w:r>
    </w:p>
    <w:p>
      <w:pPr>
        <w:spacing w:line="360" w:lineRule="auto"/>
        <w:ind w:firstLine="480" w:firstLineChars="200"/>
        <w:rPr>
          <w:rFonts w:ascii="Times New Roman" w:hAnsi="Times New Roman"/>
          <w:sz w:val="24"/>
        </w:rPr>
      </w:pPr>
      <w:r>
        <w:rPr>
          <w:rFonts w:hint="eastAsia" w:ascii="Times New Roman" w:hAnsi="Times New Roman"/>
          <w:sz w:val="24"/>
        </w:rPr>
        <w:t>2.基金申请与收付确认</w:t>
      </w:r>
    </w:p>
    <w:p>
      <w:pPr>
        <w:spacing w:line="360" w:lineRule="auto"/>
        <w:ind w:firstLine="480" w:firstLineChars="200"/>
        <w:rPr>
          <w:rFonts w:ascii="Times New Roman" w:hAnsi="Times New Roman"/>
          <w:sz w:val="24"/>
        </w:rPr>
      </w:pPr>
      <w:r>
        <w:rPr>
          <w:rFonts w:hint="eastAsia" w:ascii="Times New Roman" w:hAnsi="Times New Roman"/>
          <w:sz w:val="24"/>
        </w:rPr>
        <w:t>完成个人、定点医疗机构等资金收付后，通过基金财务管理向银行信息发送收付明细，进展情况和收付结果的确认，保证信息互通共享和协调工作。</w:t>
      </w:r>
    </w:p>
    <w:p>
      <w:pPr>
        <w:spacing w:line="360" w:lineRule="auto"/>
        <w:ind w:firstLine="480" w:firstLineChars="200"/>
        <w:rPr>
          <w:rFonts w:ascii="Times New Roman" w:hAnsi="Times New Roman"/>
          <w:sz w:val="24"/>
        </w:rPr>
      </w:pPr>
      <w:r>
        <w:rPr>
          <w:rFonts w:hint="eastAsia" w:ascii="Times New Roman" w:hAnsi="Times New Roman"/>
          <w:sz w:val="24"/>
        </w:rPr>
        <w:t>3.城乡居民医疗财政申报</w:t>
      </w:r>
    </w:p>
    <w:p>
      <w:pPr>
        <w:spacing w:line="360" w:lineRule="auto"/>
        <w:ind w:firstLine="480" w:firstLineChars="200"/>
        <w:rPr>
          <w:rFonts w:ascii="Times New Roman" w:hAnsi="Times New Roman"/>
          <w:sz w:val="24"/>
        </w:rPr>
      </w:pPr>
      <w:r>
        <w:rPr>
          <w:rFonts w:hint="eastAsia" w:ascii="Times New Roman" w:hAnsi="Times New Roman"/>
          <w:sz w:val="24"/>
        </w:rPr>
        <w:t>实现批量对年度城乡居民医疗保险费按各级财政标准申请补贴。</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异地就医经办同步管理</w:t>
      </w:r>
    </w:p>
    <w:p>
      <w:pPr>
        <w:spacing w:line="360" w:lineRule="auto"/>
        <w:ind w:firstLine="480" w:firstLineChars="200"/>
        <w:rPr>
          <w:rFonts w:ascii="Times New Roman" w:hAnsi="Times New Roman"/>
          <w:sz w:val="24"/>
        </w:rPr>
      </w:pPr>
      <w:r>
        <w:rPr>
          <w:rFonts w:hint="eastAsia" w:ascii="Times New Roman" w:hAnsi="Times New Roman"/>
          <w:sz w:val="24"/>
        </w:rPr>
        <w:t>参保人通过参保地提交异地就医备案申请，参保地经办人员审核、办理后将异地备案人员信息及时上传到自治区异地就医管理子系统，可供参保地和就医地下载异地就医备案人员信息。支持跨省异地就医备案同步和省内异地就医备案同步两种场景。</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政策参数管理</w:t>
      </w:r>
    </w:p>
    <w:p>
      <w:pPr>
        <w:spacing w:line="360" w:lineRule="auto"/>
        <w:ind w:firstLine="480" w:firstLineChars="200"/>
        <w:rPr>
          <w:rFonts w:ascii="Times New Roman" w:hAnsi="Times New Roman"/>
          <w:sz w:val="24"/>
        </w:rPr>
      </w:pPr>
      <w:r>
        <w:rPr>
          <w:rFonts w:hint="eastAsia" w:ascii="Times New Roman" w:hAnsi="Times New Roman"/>
          <w:sz w:val="24"/>
        </w:rPr>
        <w:t>提供对医保的政策参数进行维护管理的功能，政策参数管理功能包含但不限于系统参数管理、医疗待遇参数管理、月结算参数管理等。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医税管理</w:t>
      </w:r>
    </w:p>
    <w:p>
      <w:pPr>
        <w:spacing w:line="360" w:lineRule="auto"/>
        <w:ind w:firstLine="480" w:firstLineChars="200"/>
        <w:rPr>
          <w:rFonts w:ascii="Times New Roman" w:hAnsi="Times New Roman"/>
          <w:sz w:val="24"/>
        </w:rPr>
      </w:pPr>
      <w:r>
        <w:rPr>
          <w:rFonts w:hint="eastAsia" w:ascii="Times New Roman" w:hAnsi="Times New Roman"/>
          <w:sz w:val="24"/>
        </w:rPr>
        <w:t>根据医保费用征收业务特点和流程、部门职责以及信息共享平台业务需求，税务部门和医保部门需要在医疗保险参保登记（税务登记）、申报缴费、异常业务处理（如缴费异常业务、特殊缴费业务、退费业务等）、业务财务对账等业务环节实现信息共享和业务协同，解决医保部门和税务部门存在数据标准不统一、不一致的问题。通过提供统一的省级通道，对接相关医保业务系统，实现相关数据和业务的接入及转发，进行数据质量审核、信息统计等，并将标准化数据输出至税务部门的信息共享平台，实现医保部门与税务部门的数据交换。</w:t>
      </w:r>
    </w:p>
    <w:p>
      <w:pPr>
        <w:spacing w:line="360" w:lineRule="auto"/>
        <w:ind w:firstLine="480" w:firstLineChars="200"/>
        <w:rPr>
          <w:rFonts w:ascii="Times New Roman" w:hAnsi="Times New Roman"/>
          <w:sz w:val="24"/>
        </w:rPr>
      </w:pPr>
      <w:r>
        <w:rPr>
          <w:rFonts w:hint="eastAsia" w:ascii="Times New Roman" w:hAnsi="Times New Roman"/>
          <w:sz w:val="24"/>
        </w:rPr>
        <w:t>医税管理功能包含但不限于登记信息交互、缴费信息交互、对账信息交互、特殊缴费业务交互、异常业务处理、信息综合查询、统计报表等。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一站式结算管理</w:t>
      </w:r>
    </w:p>
    <w:p>
      <w:pPr>
        <w:spacing w:line="360" w:lineRule="auto"/>
        <w:ind w:firstLine="480" w:firstLineChars="200"/>
        <w:rPr>
          <w:rFonts w:ascii="Times New Roman" w:hAnsi="Times New Roman"/>
          <w:sz w:val="24"/>
        </w:rPr>
      </w:pPr>
      <w:r>
        <w:rPr>
          <w:rFonts w:hint="eastAsia" w:ascii="Times New Roman" w:hAnsi="Times New Roman"/>
          <w:sz w:val="24"/>
        </w:rPr>
        <w:t>一站式结算管理主要是为参保人提供基于微服务的购药、门诊、住院等业务的联网即时结算服务，包含但不限于以下功能：</w:t>
      </w:r>
    </w:p>
    <w:p>
      <w:pPr>
        <w:spacing w:line="360" w:lineRule="auto"/>
        <w:ind w:firstLine="480" w:firstLineChars="200"/>
        <w:rPr>
          <w:rFonts w:ascii="Times New Roman" w:hAnsi="Times New Roman"/>
          <w:sz w:val="24"/>
        </w:rPr>
      </w:pPr>
      <w:r>
        <w:rPr>
          <w:rFonts w:hint="eastAsia" w:ascii="Times New Roman" w:hAnsi="Times New Roman"/>
          <w:sz w:val="24"/>
        </w:rPr>
        <w:t>1.一站式结算</w:t>
      </w:r>
    </w:p>
    <w:p>
      <w:pPr>
        <w:spacing w:line="360" w:lineRule="auto"/>
        <w:ind w:firstLine="480" w:firstLineChars="200"/>
        <w:rPr>
          <w:rFonts w:ascii="Times New Roman" w:hAnsi="Times New Roman"/>
          <w:sz w:val="24"/>
        </w:rPr>
      </w:pPr>
      <w:r>
        <w:rPr>
          <w:rFonts w:hint="eastAsia" w:ascii="Times New Roman" w:hAnsi="Times New Roman"/>
          <w:sz w:val="24"/>
        </w:rPr>
        <w:t>系统支持参保人发生就医行为时，根据医保电子凭证等支付媒介进行结算，并支持对参保人待遇计算、结算规则的调用，实现参保人就医一站式结算。</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2.移动支付结算</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系统连接多个结算方：第三方支付、商业银行、商业保险公司等，实现“医保+商保+自费”的一站式移动支付结算功能。系统支持参保人发生就医行为时，根据移动支付、人脸识别等多种支付媒介进行结算，并支持对参保人待遇计算、结算规则的调用，实现参保人就医一站式结算。</w:t>
      </w:r>
    </w:p>
    <w:p>
      <w:pPr>
        <w:spacing w:line="360" w:lineRule="auto"/>
        <w:ind w:firstLine="480" w:firstLineChars="200"/>
        <w:rPr>
          <w:rFonts w:ascii="Times New Roman" w:hAnsi="Times New Roman"/>
          <w:sz w:val="24"/>
        </w:rPr>
      </w:pPr>
      <w:r>
        <w:rPr>
          <w:rFonts w:hint="eastAsia" w:ascii="Times New Roman" w:hAnsi="Times New Roman"/>
          <w:sz w:val="24"/>
        </w:rPr>
        <w:t>3.总额预算管理</w:t>
      </w:r>
    </w:p>
    <w:p>
      <w:pPr>
        <w:spacing w:line="360" w:lineRule="auto"/>
        <w:ind w:firstLine="480" w:firstLineChars="200"/>
        <w:rPr>
          <w:rFonts w:ascii="Times New Roman" w:hAnsi="Times New Roman"/>
          <w:sz w:val="24"/>
        </w:rPr>
      </w:pPr>
      <w:r>
        <w:rPr>
          <w:rFonts w:hint="eastAsia" w:ascii="Times New Roman" w:hAnsi="Times New Roman"/>
          <w:sz w:val="24"/>
        </w:rPr>
        <w:t>根据医保局在年初时为定点医药机构制定的年度总额预算计划，记录过程中相关数据及计划修改意见，记录确定的医药机构的年度预算总额，并可在指定日期前根据总额预算实际使用情况可对预算计划进行一次调整。</w:t>
      </w:r>
    </w:p>
    <w:p>
      <w:pPr>
        <w:spacing w:line="360" w:lineRule="auto"/>
        <w:ind w:firstLine="480" w:firstLineChars="200"/>
        <w:rPr>
          <w:rFonts w:ascii="Times New Roman" w:hAnsi="Times New Roman"/>
          <w:sz w:val="24"/>
        </w:rPr>
      </w:pPr>
      <w:r>
        <w:rPr>
          <w:rFonts w:hint="eastAsia" w:ascii="Times New Roman" w:hAnsi="Times New Roman"/>
          <w:sz w:val="24"/>
        </w:rPr>
        <w:t>系统支持对总额预算结算医院进行月支付参数维护，支持月结算时按总额参数进行计算。系统支持根据每月月结算数据及年初确定的总额预算计划，对定点医药机构总额预算计划执行情况进行监测。</w:t>
      </w:r>
    </w:p>
    <w:p>
      <w:pPr>
        <w:spacing w:line="360" w:lineRule="auto"/>
        <w:ind w:firstLine="480" w:firstLineChars="200"/>
        <w:rPr>
          <w:rFonts w:ascii="Times New Roman" w:hAnsi="Times New Roman"/>
          <w:sz w:val="24"/>
        </w:rPr>
      </w:pPr>
      <w:r>
        <w:rPr>
          <w:rFonts w:hint="eastAsia" w:ascii="Times New Roman" w:hAnsi="Times New Roman"/>
          <w:sz w:val="24"/>
        </w:rPr>
        <w:t>总额预算管理包含但不限于综合预算计划制定、总额预算参数维护、总额预算计划调整、总额预算计划执行监测等功能。</w:t>
      </w:r>
    </w:p>
    <w:p>
      <w:pPr>
        <w:spacing w:line="360" w:lineRule="auto"/>
        <w:ind w:firstLine="480" w:firstLineChars="200"/>
        <w:rPr>
          <w:rFonts w:ascii="Times New Roman" w:hAnsi="Times New Roman"/>
          <w:sz w:val="24"/>
        </w:rPr>
      </w:pPr>
      <w:r>
        <w:rPr>
          <w:rFonts w:hint="eastAsia" w:ascii="Times New Roman" w:hAnsi="Times New Roman"/>
          <w:sz w:val="24"/>
        </w:rPr>
        <w:t>4.预付款管理</w:t>
      </w:r>
    </w:p>
    <w:p>
      <w:pPr>
        <w:spacing w:line="360" w:lineRule="auto"/>
        <w:ind w:firstLine="480" w:firstLineChars="200"/>
        <w:rPr>
          <w:rFonts w:ascii="Times New Roman" w:hAnsi="Times New Roman"/>
          <w:sz w:val="24"/>
        </w:rPr>
      </w:pPr>
      <w:r>
        <w:rPr>
          <w:rFonts w:hint="eastAsia" w:ascii="Times New Roman" w:hAnsi="Times New Roman"/>
          <w:sz w:val="24"/>
        </w:rPr>
        <w:t>提供医保局支付给医疗服务机构、药品/耗材配送企业的预付款费用管理功能，费用结算部门根据下发的预付款文件向基金财务发起预付款支付申请，基金财务按预付款申请拨付确定额度的预付款，以备医疗机构、配送企业周转应急使用；支持费用结算部门在系统中对基金财务预付款支付进度进行查询。</w:t>
      </w:r>
      <w:r>
        <w:rPr>
          <w:rFonts w:ascii="Times New Roman" w:hAnsi="Times New Roman"/>
          <w:sz w:val="24"/>
        </w:rPr>
        <w:t xml:space="preserve"> </w:t>
      </w:r>
    </w:p>
    <w:p>
      <w:pPr>
        <w:spacing w:line="360" w:lineRule="auto"/>
        <w:ind w:firstLine="480" w:firstLineChars="200"/>
        <w:rPr>
          <w:rFonts w:ascii="Times New Roman" w:hAnsi="Times New Roman"/>
          <w:sz w:val="24"/>
        </w:rPr>
      </w:pPr>
      <w:r>
        <w:rPr>
          <w:rFonts w:hint="eastAsia" w:ascii="Times New Roman" w:hAnsi="Times New Roman"/>
          <w:sz w:val="24"/>
        </w:rPr>
        <w:t>5.零星费用报销</w:t>
      </w:r>
    </w:p>
    <w:p>
      <w:pPr>
        <w:spacing w:line="360" w:lineRule="auto"/>
        <w:ind w:firstLine="480" w:firstLineChars="200"/>
        <w:rPr>
          <w:rFonts w:ascii="Times New Roman" w:hAnsi="Times New Roman"/>
          <w:sz w:val="24"/>
        </w:rPr>
      </w:pPr>
      <w:r>
        <w:rPr>
          <w:rFonts w:hint="eastAsia" w:ascii="Times New Roman" w:hAnsi="Times New Roman"/>
          <w:sz w:val="24"/>
        </w:rPr>
        <w:t>为参保人提供零星报销申请、零星报销明细录入和零星报销审核功能。</w:t>
      </w:r>
    </w:p>
    <w:p>
      <w:pPr>
        <w:spacing w:line="360" w:lineRule="auto"/>
        <w:ind w:firstLine="480" w:firstLineChars="200"/>
        <w:rPr>
          <w:rFonts w:ascii="Times New Roman" w:hAnsi="Times New Roman"/>
          <w:sz w:val="24"/>
        </w:rPr>
      </w:pPr>
      <w:r>
        <w:rPr>
          <w:rFonts w:hint="eastAsia" w:ascii="Times New Roman" w:hAnsi="Times New Roman"/>
          <w:sz w:val="24"/>
        </w:rPr>
        <w:t>支持为参保人异地就医无法直接结算时（如未进行联网结算、特批项目未联网结算、公务员报销补款、职工大额或居民大病等）需要进行零星报销的项目提供手工结算申请。</w:t>
      </w:r>
    </w:p>
    <w:p>
      <w:pPr>
        <w:spacing w:line="360" w:lineRule="auto"/>
        <w:ind w:firstLine="480" w:firstLineChars="200"/>
        <w:rPr>
          <w:rFonts w:ascii="Times New Roman" w:hAnsi="Times New Roman"/>
          <w:sz w:val="24"/>
        </w:rPr>
      </w:pPr>
      <w:r>
        <w:rPr>
          <w:rFonts w:hint="eastAsia" w:ascii="Times New Roman" w:hAnsi="Times New Roman"/>
          <w:sz w:val="24"/>
        </w:rPr>
        <w:t>支持参保人进行跨省/市/区就医进行零星报销申请时，根据就医凭证进行零星报销明细录入。</w:t>
      </w:r>
    </w:p>
    <w:p>
      <w:pPr>
        <w:spacing w:line="360" w:lineRule="auto"/>
        <w:ind w:firstLine="480" w:firstLineChars="200"/>
        <w:rPr>
          <w:rFonts w:ascii="Times New Roman" w:hAnsi="Times New Roman"/>
          <w:sz w:val="24"/>
        </w:rPr>
      </w:pPr>
      <w:r>
        <w:rPr>
          <w:rFonts w:hint="eastAsia" w:ascii="Times New Roman" w:hAnsi="Times New Roman"/>
          <w:sz w:val="24"/>
        </w:rPr>
        <w:t>支持相关经办人对参保人提供零星报销相关材料（如发票原件、费用总清单原件、出院证或疾病诊断证明书等）进行审核。</w:t>
      </w:r>
    </w:p>
    <w:p>
      <w:pPr>
        <w:spacing w:line="360" w:lineRule="auto"/>
        <w:ind w:firstLine="480" w:firstLineChars="200"/>
        <w:rPr>
          <w:rFonts w:ascii="Times New Roman" w:hAnsi="Times New Roman"/>
          <w:sz w:val="24"/>
        </w:rPr>
      </w:pPr>
      <w:r>
        <w:rPr>
          <w:rFonts w:hint="eastAsia" w:ascii="Times New Roman" w:hAnsi="Times New Roman"/>
          <w:sz w:val="24"/>
        </w:rPr>
        <w:t>6.医保与第三方结算</w:t>
      </w:r>
    </w:p>
    <w:p>
      <w:pPr>
        <w:spacing w:line="360" w:lineRule="auto"/>
        <w:ind w:firstLine="480" w:firstLineChars="200"/>
        <w:rPr>
          <w:rFonts w:ascii="Times New Roman" w:hAnsi="Times New Roman"/>
          <w:sz w:val="24"/>
        </w:rPr>
      </w:pPr>
      <w:r>
        <w:rPr>
          <w:rFonts w:hint="eastAsia" w:ascii="Times New Roman" w:hAnsi="Times New Roman"/>
          <w:sz w:val="24"/>
        </w:rPr>
        <w:t>提供对商保公司、互助保险管理方等垫付资金的费用结算功能，包含对账管理、月结算、年度清算等功能。</w:t>
      </w:r>
    </w:p>
    <w:p>
      <w:pPr>
        <w:spacing w:line="360" w:lineRule="auto"/>
        <w:ind w:firstLine="480" w:firstLineChars="200"/>
        <w:rPr>
          <w:rFonts w:ascii="Times New Roman" w:hAnsi="Times New Roman"/>
          <w:sz w:val="24"/>
        </w:rPr>
      </w:pPr>
      <w:r>
        <w:rPr>
          <w:rFonts w:hint="eastAsia" w:ascii="Times New Roman" w:hAnsi="Times New Roman"/>
          <w:sz w:val="24"/>
        </w:rPr>
        <w:t>7.配送企业结算</w:t>
      </w:r>
    </w:p>
    <w:p>
      <w:pPr>
        <w:spacing w:line="360" w:lineRule="auto"/>
        <w:ind w:firstLine="480" w:firstLineChars="200"/>
        <w:rPr>
          <w:rFonts w:ascii="Times New Roman" w:hAnsi="Times New Roman"/>
          <w:sz w:val="24"/>
        </w:rPr>
      </w:pPr>
      <w:r>
        <w:rPr>
          <w:rFonts w:hint="eastAsia" w:ascii="Times New Roman" w:hAnsi="Times New Roman"/>
          <w:sz w:val="24"/>
        </w:rPr>
        <w:t>提供对药品和医用耗材配送企业的费用结算功能，包含对账管理、月结算、年度清算等功能。</w:t>
      </w:r>
    </w:p>
    <w:p>
      <w:pPr>
        <w:spacing w:line="360" w:lineRule="auto"/>
        <w:ind w:firstLine="480" w:firstLineChars="200"/>
        <w:rPr>
          <w:rFonts w:ascii="Times New Roman" w:hAnsi="Times New Roman"/>
          <w:sz w:val="24"/>
        </w:rPr>
      </w:pPr>
      <w:r>
        <w:rPr>
          <w:rFonts w:hint="eastAsia" w:ascii="Times New Roman" w:hAnsi="Times New Roman"/>
          <w:sz w:val="24"/>
        </w:rPr>
        <w:t>8.结算进度管理</w:t>
      </w:r>
    </w:p>
    <w:p>
      <w:pPr>
        <w:spacing w:line="360" w:lineRule="auto"/>
        <w:ind w:firstLine="480" w:firstLineChars="200"/>
        <w:rPr>
          <w:rFonts w:ascii="Times New Roman" w:hAnsi="Times New Roman"/>
          <w:sz w:val="24"/>
        </w:rPr>
      </w:pPr>
      <w:r>
        <w:rPr>
          <w:rFonts w:hint="eastAsia" w:ascii="Times New Roman" w:hAnsi="Times New Roman"/>
          <w:sz w:val="24"/>
        </w:rPr>
        <w:t>经审核通过后，医保经办机构、商保公司、互助保险管理方、配送企业等进行月结算付款的支付申请，相关机构发现进入月结算的数据有误可以申请反结算，相关费用结算环节人员，可通过系统查询月结算进度及结算状态。</w:t>
      </w:r>
    </w:p>
    <w:p>
      <w:pPr>
        <w:spacing w:line="360" w:lineRule="auto"/>
        <w:ind w:firstLine="480" w:firstLineChars="200"/>
        <w:rPr>
          <w:rFonts w:ascii="Times New Roman" w:hAnsi="Times New Roman"/>
          <w:sz w:val="24"/>
        </w:rPr>
      </w:pPr>
      <w:r>
        <w:rPr>
          <w:rFonts w:hint="eastAsia" w:ascii="Times New Roman" w:hAnsi="Times New Roman"/>
          <w:sz w:val="24"/>
        </w:rPr>
        <w:t>9.个人违规封锁</w:t>
      </w:r>
    </w:p>
    <w:p>
      <w:pPr>
        <w:spacing w:line="360" w:lineRule="auto"/>
        <w:ind w:firstLine="480" w:firstLineChars="200"/>
        <w:rPr>
          <w:rFonts w:ascii="Times New Roman" w:hAnsi="Times New Roman"/>
          <w:sz w:val="24"/>
        </w:rPr>
      </w:pPr>
      <w:r>
        <w:rPr>
          <w:rFonts w:hint="eastAsia" w:ascii="Times New Roman" w:hAnsi="Times New Roman"/>
          <w:sz w:val="24"/>
        </w:rPr>
        <w:t>根据智能审核、事后稽核、信用评价等子系统推送过来信息对个人违规行为进行待遇封锁等处罚。</w:t>
      </w:r>
    </w:p>
    <w:p>
      <w:pPr>
        <w:spacing w:line="360" w:lineRule="auto"/>
        <w:ind w:firstLine="480" w:firstLineChars="200"/>
        <w:rPr>
          <w:rFonts w:ascii="Times New Roman" w:hAnsi="Times New Roman"/>
          <w:sz w:val="24"/>
        </w:rPr>
      </w:pPr>
      <w:r>
        <w:rPr>
          <w:rFonts w:hint="eastAsia" w:ascii="Times New Roman" w:hAnsi="Times New Roman"/>
          <w:sz w:val="24"/>
        </w:rPr>
        <w:t>10.卡务及卡鉴权管理</w:t>
      </w:r>
    </w:p>
    <w:p>
      <w:pPr>
        <w:spacing w:line="360" w:lineRule="auto"/>
        <w:ind w:firstLine="480" w:firstLineChars="200"/>
        <w:rPr>
          <w:rFonts w:ascii="Times New Roman" w:hAnsi="Times New Roman"/>
          <w:sz w:val="24"/>
        </w:rPr>
      </w:pPr>
      <w:r>
        <w:rPr>
          <w:rFonts w:hint="eastAsia" w:ascii="Times New Roman" w:hAnsi="Times New Roman"/>
          <w:sz w:val="24"/>
        </w:rPr>
        <w:t>通过获取人力资源和社会保障部门社会保障卡鉴权信息、参保单位基本信息、参保人员基本信息等数据，进行卡鉴权、卡管理、卡信息查询等。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重点人群管理</w:t>
      </w:r>
    </w:p>
    <w:p>
      <w:pPr>
        <w:spacing w:line="360" w:lineRule="auto"/>
        <w:ind w:firstLine="480" w:firstLineChars="200"/>
        <w:rPr>
          <w:rFonts w:ascii="Times New Roman" w:hAnsi="Times New Roman"/>
          <w:sz w:val="24"/>
        </w:rPr>
      </w:pPr>
      <w:r>
        <w:rPr>
          <w:rFonts w:hint="eastAsia" w:ascii="Times New Roman" w:hAnsi="Times New Roman"/>
          <w:sz w:val="24"/>
        </w:rPr>
        <w:t>提供针对重点人群的管理，包含慢病人群的管理和照护人群的管理。</w:t>
      </w:r>
    </w:p>
    <w:p>
      <w:pPr>
        <w:spacing w:line="360" w:lineRule="auto"/>
        <w:ind w:firstLine="480" w:firstLineChars="200"/>
        <w:rPr>
          <w:rFonts w:ascii="Times New Roman" w:hAnsi="Times New Roman"/>
          <w:sz w:val="24"/>
        </w:rPr>
      </w:pPr>
      <w:r>
        <w:rPr>
          <w:rFonts w:hint="eastAsia" w:ascii="Times New Roman" w:hAnsi="Times New Roman"/>
          <w:sz w:val="24"/>
        </w:rPr>
        <w:t>1.慢病人群管理</w:t>
      </w:r>
    </w:p>
    <w:p>
      <w:pPr>
        <w:spacing w:line="360" w:lineRule="auto"/>
        <w:ind w:firstLine="480" w:firstLineChars="200"/>
        <w:rPr>
          <w:rFonts w:ascii="Times New Roman" w:hAnsi="Times New Roman"/>
          <w:sz w:val="24"/>
        </w:rPr>
      </w:pPr>
      <w:r>
        <w:rPr>
          <w:rFonts w:hint="eastAsia" w:ascii="Times New Roman" w:hAnsi="Times New Roman"/>
          <w:sz w:val="24"/>
        </w:rPr>
        <w:t>处理慢病人群资格进行资格准入申请，根据政策的获得慢病人群信息，依据当地的慢病人群准入政策，对准入规则进行研讨和细化。对慢病申请进行审核，以及对慢病人群定期进行资格审核，同时建立退出机制。</w:t>
      </w:r>
    </w:p>
    <w:p>
      <w:pPr>
        <w:spacing w:line="360" w:lineRule="auto"/>
        <w:ind w:firstLine="480" w:firstLineChars="200"/>
        <w:rPr>
          <w:rFonts w:ascii="Times New Roman" w:hAnsi="Times New Roman"/>
          <w:sz w:val="24"/>
        </w:rPr>
      </w:pPr>
      <w:r>
        <w:rPr>
          <w:rFonts w:hint="eastAsia" w:ascii="Times New Roman" w:hAnsi="Times New Roman"/>
          <w:sz w:val="24"/>
        </w:rPr>
        <w:t>2.照护人群管理</w:t>
      </w:r>
    </w:p>
    <w:p>
      <w:pPr>
        <w:spacing w:line="360" w:lineRule="auto"/>
        <w:ind w:firstLine="480" w:firstLineChars="200"/>
        <w:rPr>
          <w:rFonts w:ascii="Times New Roman" w:hAnsi="Times New Roman"/>
          <w:sz w:val="24"/>
        </w:rPr>
      </w:pPr>
      <w:r>
        <w:rPr>
          <w:rFonts w:hint="eastAsia" w:ascii="Times New Roman" w:hAnsi="Times New Roman"/>
          <w:sz w:val="24"/>
        </w:rPr>
        <w:t>处理照护人群的资格准入申请，并对照护资格申请进行审核，以及对照护人群定期进行资格审核，同时建立退出机制；同时对照护人群信息进行增删核查进行处理。</w:t>
      </w:r>
    </w:p>
    <w:p>
      <w:pPr>
        <w:spacing w:line="360" w:lineRule="auto"/>
        <w:ind w:firstLine="480" w:firstLineChars="200"/>
        <w:rPr>
          <w:rFonts w:ascii="Times New Roman" w:hAnsi="Times New Roman"/>
          <w:sz w:val="24"/>
        </w:rPr>
      </w:pPr>
      <w:r>
        <w:rPr>
          <w:rFonts w:hint="eastAsia" w:ascii="Times New Roman" w:hAnsi="Times New Roman"/>
          <w:sz w:val="24"/>
        </w:rPr>
        <w:t>3.建档立卡精准扶贫人员管理</w:t>
      </w:r>
    </w:p>
    <w:p>
      <w:pPr>
        <w:spacing w:line="360" w:lineRule="auto"/>
        <w:ind w:firstLine="480" w:firstLineChars="200"/>
        <w:rPr>
          <w:rFonts w:ascii="Times New Roman" w:hAnsi="Times New Roman"/>
          <w:sz w:val="24"/>
        </w:rPr>
      </w:pPr>
      <w:r>
        <w:rPr>
          <w:rFonts w:hint="eastAsia" w:ascii="Times New Roman" w:hAnsi="Times New Roman"/>
          <w:sz w:val="24"/>
        </w:rPr>
        <w:t>根据建档立卡人群分类对建档立卡人员信息进行增删核查进行处理。</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长护险管理</w:t>
      </w:r>
    </w:p>
    <w:p>
      <w:pPr>
        <w:spacing w:line="360" w:lineRule="auto"/>
        <w:ind w:firstLine="480" w:firstLineChars="200"/>
        <w:rPr>
          <w:rFonts w:ascii="Times New Roman" w:hAnsi="Times New Roman"/>
          <w:sz w:val="24"/>
        </w:rPr>
      </w:pPr>
      <w:r>
        <w:rPr>
          <w:rFonts w:hint="eastAsia" w:ascii="Times New Roman" w:hAnsi="Times New Roman"/>
          <w:sz w:val="24"/>
        </w:rPr>
        <w:t>参保人员提出申请并选择适合的定点护理服务机构，经定点评估机构进行等级评定并确认服务关系后，可享受相应的长护险服务。长护险管理包含但不限于长护险申请、失能评定管理、长护险缴费管理等功能。</w:t>
      </w:r>
    </w:p>
    <w:p>
      <w:pPr>
        <w:spacing w:line="360" w:lineRule="auto"/>
        <w:ind w:firstLine="480" w:firstLineChars="200"/>
        <w:rPr>
          <w:rFonts w:ascii="Times New Roman" w:hAnsi="Times New Roman"/>
          <w:sz w:val="24"/>
        </w:rPr>
      </w:pPr>
      <w:r>
        <w:rPr>
          <w:rFonts w:hint="eastAsia" w:ascii="Times New Roman" w:hAnsi="Times New Roman"/>
          <w:sz w:val="24"/>
        </w:rPr>
        <w:t>支持经办人员对参保人进行失能评定，护理服务管理等。支持税务部门定期将医保征缴明细数据发送给医保局，医保局基金财务对征缴数据和财务数据进行对账确认。</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兵地融合管理</w:t>
      </w:r>
    </w:p>
    <w:p>
      <w:pPr>
        <w:spacing w:line="360" w:lineRule="auto"/>
        <w:ind w:firstLine="480" w:firstLineChars="200"/>
        <w:rPr>
          <w:rFonts w:ascii="Times New Roman" w:hAnsi="Times New Roman"/>
          <w:sz w:val="24"/>
        </w:rPr>
      </w:pPr>
      <w:r>
        <w:rPr>
          <w:rFonts w:hint="eastAsia" w:ascii="Times New Roman" w:hAnsi="Times New Roman"/>
          <w:sz w:val="24"/>
        </w:rPr>
        <w:t>支持自治区与新疆生产建设兵团医保的定点医药机构协议认定信息以及信息同步，定点医药机构处罚信息的同步，定点医药机构退出信息的同步；</w:t>
      </w:r>
    </w:p>
    <w:p>
      <w:pPr>
        <w:spacing w:line="360" w:lineRule="auto"/>
        <w:ind w:firstLine="480" w:firstLineChars="200"/>
        <w:rPr>
          <w:rFonts w:ascii="Times New Roman" w:hAnsi="Times New Roman"/>
          <w:sz w:val="24"/>
        </w:rPr>
      </w:pPr>
      <w:r>
        <w:rPr>
          <w:rFonts w:hint="eastAsia" w:ascii="Times New Roman" w:hAnsi="Times New Roman"/>
          <w:sz w:val="24"/>
        </w:rPr>
        <w:t>支持自治区与新疆生产建设兵团医保的定点医药机构刷卡扫码设备的兼容性、医保结算接口的一致性，可以同时读取自治区与新疆生产建设兵团的医保卡信息，结算信息同步，支持两地实时结算；</w:t>
      </w:r>
      <w:r>
        <w:rPr>
          <w:rFonts w:ascii="Times New Roman" w:hAnsi="Times New Roman"/>
          <w:sz w:val="24"/>
        </w:rPr>
        <w:t xml:space="preserve"> </w:t>
      </w:r>
    </w:p>
    <w:p>
      <w:pPr>
        <w:spacing w:line="360" w:lineRule="auto"/>
        <w:ind w:firstLine="480" w:firstLineChars="200"/>
        <w:rPr>
          <w:rFonts w:ascii="Times New Roman" w:hAnsi="Times New Roman"/>
          <w:sz w:val="24"/>
        </w:rPr>
      </w:pPr>
      <w:r>
        <w:rPr>
          <w:rFonts w:hint="eastAsia" w:ascii="Times New Roman" w:hAnsi="Times New Roman"/>
          <w:sz w:val="24"/>
        </w:rPr>
        <w:t>支持自治区医保与新疆生产建设兵团医保电子凭证、电子签章的互认；</w:t>
      </w:r>
    </w:p>
    <w:p>
      <w:pPr>
        <w:spacing w:line="360" w:lineRule="auto"/>
        <w:ind w:firstLine="480" w:firstLineChars="200"/>
        <w:rPr>
          <w:rFonts w:ascii="Times New Roman" w:hAnsi="Times New Roman"/>
          <w:sz w:val="24"/>
        </w:rPr>
      </w:pPr>
      <w:r>
        <w:rPr>
          <w:rFonts w:hint="eastAsia" w:ascii="Times New Roman" w:hAnsi="Times New Roman"/>
          <w:sz w:val="24"/>
        </w:rPr>
        <w:t>支持自治区医保与新疆生产建设兵团医保重大疾病、特殊慢性病互认功能。</w:t>
      </w:r>
    </w:p>
    <w:p>
      <w:pPr>
        <w:spacing w:line="360" w:lineRule="auto"/>
        <w:ind w:firstLine="480" w:firstLineChars="200"/>
        <w:rPr>
          <w:rFonts w:ascii="Times New Roman" w:hAnsi="Times New Roman"/>
          <w:sz w:val="24"/>
        </w:rPr>
      </w:pPr>
      <w:r>
        <w:rPr>
          <w:rFonts w:hint="eastAsia" w:ascii="Times New Roman" w:hAnsi="Times New Roman"/>
          <w:sz w:val="24"/>
        </w:rPr>
        <w:t>支持自治区医保与新疆生产建设兵团参保人信息的共享以及信息变更后的同步，支持自治区与新疆生产建设兵团之间人员关系转移的在线办理和一次办理即可完成。</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Web HIS管理</w:t>
      </w:r>
    </w:p>
    <w:p>
      <w:pPr>
        <w:spacing w:line="360" w:lineRule="auto"/>
        <w:ind w:firstLine="480" w:firstLineChars="200"/>
        <w:rPr>
          <w:rFonts w:ascii="Times New Roman" w:hAnsi="Times New Roman"/>
          <w:sz w:val="24"/>
        </w:rPr>
      </w:pPr>
      <w:r>
        <w:rPr>
          <w:rFonts w:hint="eastAsia" w:ascii="Times New Roman" w:hAnsi="Times New Roman"/>
          <w:sz w:val="24"/>
        </w:rPr>
        <w:t>Web</w:t>
      </w:r>
      <w:r>
        <w:rPr>
          <w:rFonts w:ascii="Times New Roman" w:hAnsi="Times New Roman"/>
          <w:sz w:val="24"/>
        </w:rPr>
        <w:t xml:space="preserve"> </w:t>
      </w:r>
      <w:r>
        <w:rPr>
          <w:rFonts w:hint="eastAsia" w:ascii="Times New Roman" w:hAnsi="Times New Roman"/>
          <w:sz w:val="24"/>
        </w:rPr>
        <w:t>HIS管理包含但不限于以下功能：</w:t>
      </w:r>
    </w:p>
    <w:p>
      <w:pPr>
        <w:spacing w:line="360" w:lineRule="auto"/>
        <w:ind w:firstLine="480" w:firstLineChars="200"/>
        <w:rPr>
          <w:rFonts w:ascii="Times New Roman" w:hAnsi="Times New Roman"/>
          <w:sz w:val="24"/>
        </w:rPr>
      </w:pPr>
      <w:r>
        <w:rPr>
          <w:rFonts w:hint="eastAsia" w:ascii="Times New Roman" w:hAnsi="Times New Roman"/>
          <w:sz w:val="24"/>
        </w:rPr>
        <w:t>1.基础数据维护</w:t>
      </w:r>
    </w:p>
    <w:p>
      <w:pPr>
        <w:spacing w:line="360" w:lineRule="auto"/>
        <w:ind w:firstLine="480" w:firstLineChars="200"/>
        <w:rPr>
          <w:rFonts w:ascii="Times New Roman" w:hAnsi="Times New Roman"/>
          <w:sz w:val="24"/>
        </w:rPr>
      </w:pPr>
      <w:r>
        <w:rPr>
          <w:rFonts w:hint="eastAsia" w:ascii="Times New Roman" w:hAnsi="Times New Roman"/>
          <w:sz w:val="24"/>
        </w:rPr>
        <w:t>主要用于维护本定点医疗机构所使用的药品目录、诊疗项目、医用材料以及科室、医护人员、床位、病房等基础信息，支撑门诊收费和住院管理等功能运行。</w:t>
      </w:r>
    </w:p>
    <w:p>
      <w:pPr>
        <w:spacing w:line="360" w:lineRule="auto"/>
        <w:ind w:firstLine="480" w:firstLineChars="200"/>
        <w:rPr>
          <w:rFonts w:ascii="Times New Roman" w:hAnsi="Times New Roman"/>
          <w:sz w:val="24"/>
        </w:rPr>
      </w:pPr>
      <w:r>
        <w:rPr>
          <w:rFonts w:hint="eastAsia" w:ascii="Times New Roman" w:hAnsi="Times New Roman"/>
          <w:sz w:val="24"/>
        </w:rPr>
        <w:t>2.门诊管理</w:t>
      </w:r>
    </w:p>
    <w:p>
      <w:pPr>
        <w:spacing w:line="360" w:lineRule="auto"/>
        <w:ind w:firstLine="480" w:firstLineChars="200"/>
        <w:rPr>
          <w:rFonts w:ascii="Times New Roman" w:hAnsi="Times New Roman"/>
          <w:sz w:val="24"/>
        </w:rPr>
      </w:pPr>
      <w:r>
        <w:rPr>
          <w:rFonts w:hint="eastAsia" w:ascii="Times New Roman" w:hAnsi="Times New Roman"/>
          <w:sz w:val="24"/>
        </w:rPr>
        <w:t>主要用于定点医疗机构门诊结算，实时获取参保人员基本信息、医保账户信息，录入就诊信息（诊断、费用明细等），实时将结算信息传给医保核心业务子系统；同时用于定点医疗机构门诊退费，实时将退费信息传给医保核心业务子系统，核心业务子系统处理成功后将结果返回WebHIS。</w:t>
      </w:r>
    </w:p>
    <w:p>
      <w:pPr>
        <w:spacing w:line="360" w:lineRule="auto"/>
        <w:ind w:firstLine="480" w:firstLineChars="200"/>
        <w:rPr>
          <w:rFonts w:ascii="Times New Roman" w:hAnsi="Times New Roman"/>
          <w:sz w:val="24"/>
        </w:rPr>
      </w:pPr>
      <w:r>
        <w:rPr>
          <w:rFonts w:hint="eastAsia" w:ascii="Times New Roman" w:hAnsi="Times New Roman"/>
          <w:sz w:val="24"/>
        </w:rPr>
        <w:t>3.住院管理</w:t>
      </w:r>
    </w:p>
    <w:p>
      <w:pPr>
        <w:spacing w:line="360" w:lineRule="auto"/>
        <w:ind w:firstLine="480" w:firstLineChars="200"/>
        <w:rPr>
          <w:rFonts w:ascii="Times New Roman" w:hAnsi="Times New Roman"/>
          <w:sz w:val="24"/>
        </w:rPr>
      </w:pPr>
      <w:r>
        <w:rPr>
          <w:rFonts w:hint="eastAsia" w:ascii="Times New Roman" w:hAnsi="Times New Roman"/>
          <w:sz w:val="24"/>
        </w:rPr>
        <w:t>主要实现住院过程管理和医保结算，包括入院登记、无费退院、押金管理、住院记账、住院销账、出院登记、出院召回、住院结算、结算撤销等功能。</w:t>
      </w:r>
    </w:p>
    <w:p>
      <w:pPr>
        <w:spacing w:line="360" w:lineRule="auto"/>
        <w:ind w:firstLine="480" w:firstLineChars="200"/>
        <w:rPr>
          <w:rFonts w:ascii="Times New Roman" w:hAnsi="Times New Roman"/>
          <w:sz w:val="24"/>
        </w:rPr>
      </w:pPr>
      <w:r>
        <w:rPr>
          <w:rFonts w:hint="eastAsia" w:ascii="Times New Roman" w:hAnsi="Times New Roman"/>
          <w:sz w:val="24"/>
        </w:rPr>
        <w:t>4.查询统计</w:t>
      </w:r>
    </w:p>
    <w:p>
      <w:pPr>
        <w:spacing w:line="360" w:lineRule="auto"/>
        <w:ind w:firstLine="480" w:firstLineChars="200"/>
        <w:rPr>
          <w:rFonts w:ascii="Times New Roman" w:hAnsi="Times New Roman"/>
          <w:sz w:val="24"/>
        </w:rPr>
      </w:pPr>
      <w:r>
        <w:rPr>
          <w:rFonts w:hint="eastAsia" w:ascii="Times New Roman" w:hAnsi="Times New Roman"/>
          <w:sz w:val="24"/>
        </w:rPr>
        <w:t>主要实现本定点医疗机构门诊、住院信息查询统计，包括门诊结算信息查询、在院信息查询、出院信息查询、结算信息查询、月结算单打印等功能。</w:t>
      </w:r>
    </w:p>
    <w:p>
      <w:pPr>
        <w:spacing w:line="360" w:lineRule="auto"/>
        <w:ind w:firstLine="480" w:firstLineChars="200"/>
        <w:rPr>
          <w:rFonts w:ascii="Times New Roman" w:hAnsi="Times New Roman"/>
          <w:sz w:val="24"/>
        </w:rPr>
      </w:pPr>
      <w:r>
        <w:rPr>
          <w:rFonts w:hint="eastAsia" w:ascii="Times New Roman" w:hAnsi="Times New Roman"/>
          <w:sz w:val="24"/>
        </w:rPr>
        <w:t>5.月结报表</w:t>
      </w:r>
    </w:p>
    <w:p>
      <w:pPr>
        <w:spacing w:line="360" w:lineRule="auto"/>
        <w:ind w:firstLine="480" w:firstLineChars="200"/>
        <w:rPr>
          <w:rFonts w:ascii="Times New Roman" w:hAnsi="Times New Roman"/>
          <w:sz w:val="24"/>
        </w:rPr>
      </w:pPr>
      <w:r>
        <w:rPr>
          <w:rFonts w:hint="eastAsia" w:ascii="Times New Roman" w:hAnsi="Times New Roman"/>
          <w:sz w:val="24"/>
        </w:rPr>
        <w:t>通过该功能打印本定点医疗机构月结报表，与住院发票、病历等资料一起提交给医保局，申请费用拨付。</w:t>
      </w:r>
    </w:p>
    <w:p>
      <w:pPr>
        <w:spacing w:line="360" w:lineRule="auto"/>
        <w:ind w:firstLine="480" w:firstLineChars="200"/>
        <w:rPr>
          <w:rFonts w:ascii="Times New Roman" w:hAnsi="Times New Roman"/>
          <w:sz w:val="24"/>
        </w:rPr>
      </w:pPr>
      <w:r>
        <w:rPr>
          <w:rFonts w:hint="eastAsia" w:ascii="Times New Roman" w:hAnsi="Times New Roman"/>
          <w:sz w:val="24"/>
        </w:rPr>
        <w:t>6.签到签退</w:t>
      </w:r>
    </w:p>
    <w:p>
      <w:pPr>
        <w:spacing w:line="360" w:lineRule="auto"/>
        <w:ind w:firstLine="480" w:firstLineChars="200"/>
        <w:rPr>
          <w:rFonts w:ascii="Times New Roman" w:hAnsi="Times New Roman"/>
          <w:sz w:val="24"/>
        </w:rPr>
      </w:pPr>
      <w:r>
        <w:rPr>
          <w:rFonts w:hint="eastAsia" w:ascii="Times New Roman" w:hAnsi="Times New Roman"/>
          <w:sz w:val="24"/>
        </w:rPr>
        <w:t>主要实现本定点医疗机构操作人员在开始收费前需要先进行签到，结束收费时需要进行签退，达到两个目的，一是操作人员考勤，二是与医保核心业务子系统对账。</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Web</w:t>
      </w:r>
      <w:r>
        <w:rPr>
          <w:rFonts w:ascii="Times New Roman" w:hAnsi="Times New Roman"/>
          <w:b/>
          <w:bCs/>
          <w:sz w:val="24"/>
          <w:szCs w:val="28"/>
        </w:rPr>
        <w:t xml:space="preserve"> </w:t>
      </w:r>
      <w:r>
        <w:rPr>
          <w:rFonts w:hint="eastAsia" w:ascii="Times New Roman" w:hAnsi="Times New Roman"/>
          <w:b/>
          <w:bCs/>
          <w:sz w:val="24"/>
          <w:szCs w:val="28"/>
        </w:rPr>
        <w:t>药店管理</w:t>
      </w:r>
    </w:p>
    <w:p>
      <w:pPr>
        <w:spacing w:line="360" w:lineRule="auto"/>
        <w:ind w:firstLine="480" w:firstLineChars="200"/>
        <w:rPr>
          <w:rFonts w:ascii="Times New Roman" w:hAnsi="Times New Roman"/>
          <w:sz w:val="24"/>
        </w:rPr>
      </w:pPr>
      <w:r>
        <w:rPr>
          <w:rFonts w:hint="eastAsia" w:ascii="Times New Roman" w:hAnsi="Times New Roman"/>
          <w:sz w:val="24"/>
        </w:rPr>
        <w:t>Web药店管理包含但不限于以下功能：</w:t>
      </w:r>
    </w:p>
    <w:p>
      <w:pPr>
        <w:spacing w:line="360" w:lineRule="auto"/>
        <w:ind w:firstLine="480" w:firstLineChars="200"/>
        <w:rPr>
          <w:rFonts w:ascii="Times New Roman" w:hAnsi="Times New Roman"/>
          <w:sz w:val="24"/>
        </w:rPr>
      </w:pPr>
      <w:r>
        <w:rPr>
          <w:rFonts w:hint="eastAsia" w:ascii="Times New Roman" w:hAnsi="Times New Roman"/>
          <w:sz w:val="24"/>
        </w:rPr>
        <w:t>1.基础数据维护</w:t>
      </w:r>
    </w:p>
    <w:p>
      <w:pPr>
        <w:spacing w:line="360" w:lineRule="auto"/>
        <w:ind w:firstLine="480" w:firstLineChars="200"/>
        <w:rPr>
          <w:rFonts w:ascii="Times New Roman" w:hAnsi="Times New Roman"/>
          <w:sz w:val="24"/>
        </w:rPr>
      </w:pPr>
      <w:r>
        <w:rPr>
          <w:rFonts w:hint="eastAsia" w:ascii="Times New Roman" w:hAnsi="Times New Roman"/>
          <w:sz w:val="24"/>
        </w:rPr>
        <w:t>主要用于维护定点药店所使用的药品目录以及医保药师等基础信息。</w:t>
      </w:r>
    </w:p>
    <w:p>
      <w:pPr>
        <w:spacing w:line="360" w:lineRule="auto"/>
        <w:ind w:firstLine="480" w:firstLineChars="200"/>
        <w:rPr>
          <w:rFonts w:ascii="Times New Roman" w:hAnsi="Times New Roman"/>
          <w:sz w:val="24"/>
        </w:rPr>
      </w:pPr>
      <w:r>
        <w:rPr>
          <w:rFonts w:hint="eastAsia" w:ascii="Times New Roman" w:hAnsi="Times New Roman"/>
          <w:sz w:val="24"/>
        </w:rPr>
        <w:t>2.药店管理</w:t>
      </w:r>
    </w:p>
    <w:p>
      <w:pPr>
        <w:spacing w:line="360" w:lineRule="auto"/>
        <w:ind w:firstLine="480" w:firstLineChars="200"/>
        <w:rPr>
          <w:rFonts w:ascii="Times New Roman" w:hAnsi="Times New Roman"/>
          <w:sz w:val="24"/>
        </w:rPr>
      </w:pPr>
      <w:r>
        <w:rPr>
          <w:rFonts w:hint="eastAsia" w:ascii="Times New Roman" w:hAnsi="Times New Roman"/>
          <w:sz w:val="24"/>
        </w:rPr>
        <w:t>主要用于特定定点药店购药结算，实时获取参保人员基本信息、医保账户信息，购药信息，实时将结算信息传给医保核心业务子系统；同时用于定点药店购药退费，实时将退费信息传给医保核心业务子系统，核心业务子系统处理成功后将结果返回Web药店。</w:t>
      </w:r>
    </w:p>
    <w:p>
      <w:pPr>
        <w:spacing w:line="360" w:lineRule="auto"/>
        <w:ind w:firstLine="480" w:firstLineChars="200"/>
        <w:rPr>
          <w:rFonts w:ascii="Times New Roman" w:hAnsi="Times New Roman"/>
          <w:sz w:val="24"/>
        </w:rPr>
      </w:pPr>
      <w:r>
        <w:rPr>
          <w:rFonts w:hint="eastAsia" w:ascii="Times New Roman" w:hAnsi="Times New Roman"/>
          <w:sz w:val="24"/>
        </w:rPr>
        <w:t>3.查询统计</w:t>
      </w:r>
    </w:p>
    <w:p>
      <w:pPr>
        <w:spacing w:line="360" w:lineRule="auto"/>
        <w:ind w:firstLine="480" w:firstLineChars="200"/>
        <w:rPr>
          <w:rFonts w:ascii="Times New Roman" w:hAnsi="Times New Roman"/>
          <w:sz w:val="24"/>
        </w:rPr>
      </w:pPr>
      <w:r>
        <w:rPr>
          <w:rFonts w:hint="eastAsia" w:ascii="Times New Roman" w:hAnsi="Times New Roman"/>
          <w:sz w:val="24"/>
        </w:rPr>
        <w:t>主要实现特定定点药店药品信息、结算信息查询统计。</w:t>
      </w:r>
    </w:p>
    <w:p>
      <w:pPr>
        <w:spacing w:line="360" w:lineRule="auto"/>
        <w:ind w:firstLine="480" w:firstLineChars="200"/>
        <w:rPr>
          <w:rFonts w:ascii="Times New Roman" w:hAnsi="Times New Roman"/>
          <w:sz w:val="24"/>
        </w:rPr>
      </w:pPr>
      <w:r>
        <w:rPr>
          <w:rFonts w:hint="eastAsia" w:ascii="Times New Roman" w:hAnsi="Times New Roman"/>
          <w:sz w:val="24"/>
        </w:rPr>
        <w:t>4.月结报表</w:t>
      </w:r>
    </w:p>
    <w:p>
      <w:pPr>
        <w:spacing w:line="360" w:lineRule="auto"/>
        <w:ind w:firstLine="480" w:firstLineChars="200"/>
        <w:rPr>
          <w:rFonts w:ascii="Times New Roman" w:hAnsi="Times New Roman"/>
          <w:sz w:val="24"/>
        </w:rPr>
      </w:pPr>
      <w:r>
        <w:rPr>
          <w:rFonts w:hint="eastAsia" w:ascii="Times New Roman" w:hAnsi="Times New Roman"/>
          <w:sz w:val="24"/>
        </w:rPr>
        <w:t>通过该功能打印特定定点药店月结报表，申请费用拨付。</w:t>
      </w:r>
    </w:p>
    <w:p>
      <w:pPr>
        <w:spacing w:line="360" w:lineRule="auto"/>
        <w:ind w:firstLine="480" w:firstLineChars="200"/>
        <w:rPr>
          <w:rFonts w:ascii="Times New Roman" w:hAnsi="Times New Roman"/>
          <w:sz w:val="24"/>
        </w:rPr>
      </w:pPr>
      <w:r>
        <w:rPr>
          <w:rFonts w:hint="eastAsia" w:ascii="Times New Roman" w:hAnsi="Times New Roman"/>
          <w:sz w:val="24"/>
        </w:rPr>
        <w:t>5.签到签退</w:t>
      </w:r>
    </w:p>
    <w:p>
      <w:pPr>
        <w:spacing w:line="360" w:lineRule="auto"/>
        <w:ind w:firstLine="480" w:firstLineChars="200"/>
        <w:rPr>
          <w:rFonts w:ascii="Times New Roman" w:hAnsi="Times New Roman"/>
          <w:sz w:val="24"/>
        </w:rPr>
      </w:pPr>
      <w:r>
        <w:rPr>
          <w:rFonts w:hint="eastAsia" w:ascii="Times New Roman" w:hAnsi="Times New Roman"/>
          <w:sz w:val="24"/>
        </w:rPr>
        <w:t>主要实现定点药店操作人员在开始收费前需要先进行签到，结束收费时需要进行签退，达到两个目的，一是操作人员考勤，二是与医保核心业务子系统对账。</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医保与第三方联动管理</w:t>
      </w:r>
    </w:p>
    <w:p>
      <w:pPr>
        <w:spacing w:line="360" w:lineRule="auto"/>
        <w:ind w:firstLine="480" w:firstLineChars="200"/>
        <w:rPr>
          <w:rFonts w:ascii="Times New Roman" w:hAnsi="Times New Roman"/>
          <w:sz w:val="24"/>
        </w:rPr>
      </w:pPr>
      <w:r>
        <w:rPr>
          <w:rFonts w:hint="eastAsia" w:ascii="Times New Roman" w:hAnsi="Times New Roman"/>
          <w:sz w:val="24"/>
        </w:rPr>
        <w:t>与医保进行联动的第三方机构包含医疗机构、商业保险公司、残联、民政局等，医保与第三方联动管理包含但不限于以下内容：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1.第三方准入管理</w:t>
      </w:r>
    </w:p>
    <w:p>
      <w:pPr>
        <w:spacing w:line="360" w:lineRule="auto"/>
        <w:ind w:firstLine="480" w:firstLineChars="200"/>
        <w:rPr>
          <w:rFonts w:ascii="Times New Roman" w:hAnsi="Times New Roman"/>
          <w:sz w:val="24"/>
        </w:rPr>
      </w:pPr>
      <w:r>
        <w:rPr>
          <w:rFonts w:hint="eastAsia" w:ascii="Times New Roman" w:hAnsi="Times New Roman"/>
          <w:sz w:val="24"/>
        </w:rPr>
        <w:t>通过与第三方签订协议合同，审核第三方的准入申请，支持在第三方合同签订、上传、内容维护等合同管理功能，支持基础信息维护（包括基础信息新增、变更等）；支持第三方退出机制，支持对退出的第三方机构进行合同解除、列入黑名单等操作。</w:t>
      </w:r>
    </w:p>
    <w:p>
      <w:pPr>
        <w:spacing w:line="360" w:lineRule="auto"/>
        <w:ind w:firstLine="480" w:firstLineChars="200"/>
        <w:rPr>
          <w:rFonts w:ascii="Times New Roman" w:hAnsi="Times New Roman"/>
          <w:sz w:val="24"/>
        </w:rPr>
      </w:pPr>
      <w:r>
        <w:rPr>
          <w:rFonts w:hint="eastAsia" w:ascii="Times New Roman" w:hAnsi="Times New Roman"/>
          <w:sz w:val="24"/>
        </w:rPr>
        <w:t>2.第三方管理</w:t>
      </w:r>
    </w:p>
    <w:p>
      <w:pPr>
        <w:spacing w:line="360" w:lineRule="auto"/>
        <w:ind w:firstLine="480" w:firstLineChars="200"/>
        <w:rPr>
          <w:rFonts w:ascii="Times New Roman" w:hAnsi="Times New Roman"/>
          <w:sz w:val="24"/>
        </w:rPr>
      </w:pPr>
      <w:r>
        <w:rPr>
          <w:rFonts w:hint="eastAsia" w:ascii="Times New Roman" w:hAnsi="Times New Roman"/>
          <w:sz w:val="24"/>
        </w:rPr>
        <w:t>（1）综合查询管理</w:t>
      </w:r>
    </w:p>
    <w:p>
      <w:pPr>
        <w:spacing w:line="360" w:lineRule="auto"/>
        <w:ind w:firstLine="480" w:firstLineChars="200"/>
        <w:rPr>
          <w:rFonts w:ascii="Times New Roman" w:hAnsi="Times New Roman"/>
          <w:sz w:val="24"/>
        </w:rPr>
      </w:pPr>
      <w:r>
        <w:rPr>
          <w:rFonts w:hint="eastAsia" w:ascii="Times New Roman" w:hAnsi="Times New Roman"/>
          <w:sz w:val="24"/>
        </w:rPr>
        <w:t>医保与第三方联动管理可以连接至第三方机构查询端，在获取授权的情况下进行第三方参保信息的查询，可查询的内容包括当前的承保险种、保险责任、保险有效期等信息。</w:t>
      </w:r>
    </w:p>
    <w:p>
      <w:pPr>
        <w:spacing w:line="360" w:lineRule="auto"/>
        <w:ind w:firstLine="480" w:firstLineChars="200"/>
        <w:rPr>
          <w:rFonts w:ascii="Times New Roman" w:hAnsi="Times New Roman"/>
          <w:sz w:val="24"/>
        </w:rPr>
      </w:pPr>
      <w:r>
        <w:rPr>
          <w:rFonts w:hint="eastAsia" w:ascii="Times New Roman" w:hAnsi="Times New Roman"/>
          <w:sz w:val="24"/>
        </w:rPr>
        <w:t>（2）理赔数据管理</w:t>
      </w:r>
    </w:p>
    <w:p>
      <w:pPr>
        <w:spacing w:line="360" w:lineRule="auto"/>
        <w:ind w:firstLine="480" w:firstLineChars="200"/>
        <w:rPr>
          <w:rFonts w:ascii="Times New Roman" w:hAnsi="Times New Roman"/>
          <w:sz w:val="24"/>
        </w:rPr>
      </w:pPr>
      <w:r>
        <w:rPr>
          <w:rFonts w:hint="eastAsia" w:ascii="Times New Roman" w:hAnsi="Times New Roman"/>
          <w:sz w:val="24"/>
        </w:rPr>
        <w:t>提供医院数据接入基础标准，含患者身份信息、基本就医信息、医院结算及医保结算信息、费用明细、电子处方、电子诊断、电子病历及相关化验检查报告等。</w:t>
      </w:r>
    </w:p>
    <w:p>
      <w:pPr>
        <w:spacing w:line="360" w:lineRule="auto"/>
        <w:ind w:firstLine="480" w:firstLineChars="200"/>
        <w:rPr>
          <w:rFonts w:ascii="Times New Roman" w:hAnsi="Times New Roman"/>
          <w:sz w:val="24"/>
        </w:rPr>
      </w:pPr>
      <w:r>
        <w:rPr>
          <w:rFonts w:hint="eastAsia" w:ascii="Times New Roman" w:hAnsi="Times New Roman"/>
          <w:sz w:val="24"/>
        </w:rPr>
        <w:t>（3）数据传输管理</w:t>
      </w:r>
    </w:p>
    <w:p>
      <w:pPr>
        <w:spacing w:line="360" w:lineRule="auto"/>
        <w:ind w:firstLine="480" w:firstLineChars="200"/>
        <w:rPr>
          <w:rFonts w:ascii="Times New Roman" w:hAnsi="Times New Roman"/>
          <w:sz w:val="24"/>
        </w:rPr>
      </w:pPr>
      <w:r>
        <w:rPr>
          <w:rFonts w:hint="eastAsia" w:ascii="Times New Roman" w:hAnsi="Times New Roman"/>
          <w:sz w:val="24"/>
        </w:rPr>
        <w:t>医保与第三方联动支持实时数据传输，开放实时接口并在第一时间完成数据准备，相应理赔数据应实现分钟级上传。</w:t>
      </w:r>
    </w:p>
    <w:p>
      <w:pPr>
        <w:spacing w:line="360" w:lineRule="auto"/>
        <w:ind w:firstLine="480" w:firstLineChars="200"/>
        <w:rPr>
          <w:rFonts w:ascii="Times New Roman" w:hAnsi="Times New Roman"/>
          <w:sz w:val="24"/>
        </w:rPr>
      </w:pPr>
      <w:r>
        <w:rPr>
          <w:rFonts w:hint="eastAsia" w:ascii="Times New Roman" w:hAnsi="Times New Roman"/>
          <w:sz w:val="24"/>
        </w:rPr>
        <w:t>3.第三方联动基础信息管理</w:t>
      </w:r>
    </w:p>
    <w:p>
      <w:pPr>
        <w:spacing w:line="360" w:lineRule="auto"/>
        <w:ind w:firstLine="480" w:firstLineChars="200"/>
        <w:rPr>
          <w:rFonts w:ascii="Times New Roman" w:hAnsi="Times New Roman"/>
          <w:sz w:val="24"/>
        </w:rPr>
      </w:pPr>
      <w:r>
        <w:rPr>
          <w:rFonts w:hint="eastAsia" w:ascii="Times New Roman" w:hAnsi="Times New Roman"/>
          <w:sz w:val="24"/>
        </w:rPr>
        <w:t>第三方机构相关基础信息的维护与管理，包括目录管理，字典映射管理，报文转换等。</w:t>
      </w:r>
    </w:p>
    <w:p>
      <w:pPr>
        <w:spacing w:line="360" w:lineRule="auto"/>
        <w:ind w:firstLine="480" w:firstLineChars="200"/>
        <w:rPr>
          <w:rFonts w:ascii="Times New Roman" w:hAnsi="Times New Roman"/>
          <w:sz w:val="24"/>
        </w:rPr>
      </w:pPr>
      <w:r>
        <w:rPr>
          <w:rFonts w:hint="eastAsia" w:ascii="Times New Roman" w:hAnsi="Times New Roman"/>
          <w:sz w:val="24"/>
        </w:rPr>
        <w:t>4.第三方联动接口管理</w:t>
      </w:r>
    </w:p>
    <w:p>
      <w:pPr>
        <w:spacing w:line="360" w:lineRule="auto"/>
        <w:ind w:firstLine="480" w:firstLineChars="200"/>
        <w:rPr>
          <w:rFonts w:ascii="Times New Roman" w:hAnsi="Times New Roman"/>
          <w:sz w:val="24"/>
        </w:rPr>
      </w:pPr>
      <w:r>
        <w:rPr>
          <w:rFonts w:hint="eastAsia" w:ascii="Times New Roman" w:hAnsi="Times New Roman"/>
          <w:sz w:val="24"/>
        </w:rPr>
        <w:t>通过第三方联动接口管理，连接医疗机构、商业保险公司、民政局、残联等，满足患者在医疗机构就诊时，就诊数据实时上传至第三方机构，实现患者出院时，即可进行一单式结算、清算。</w:t>
      </w:r>
    </w:p>
    <w:p>
      <w:pPr>
        <w:spacing w:line="360" w:lineRule="auto"/>
        <w:ind w:firstLine="480" w:firstLineChars="200"/>
        <w:rPr>
          <w:rFonts w:ascii="Times New Roman" w:hAnsi="Times New Roman"/>
          <w:sz w:val="24"/>
        </w:rPr>
      </w:pPr>
      <w:r>
        <w:rPr>
          <w:rFonts w:hint="eastAsia" w:ascii="Times New Roman" w:hAnsi="Times New Roman"/>
          <w:sz w:val="24"/>
        </w:rPr>
        <w:t>5.数据管理</w:t>
      </w:r>
    </w:p>
    <w:p>
      <w:pPr>
        <w:spacing w:line="360" w:lineRule="auto"/>
        <w:ind w:firstLine="480" w:firstLineChars="200"/>
        <w:rPr>
          <w:rFonts w:ascii="Times New Roman" w:hAnsi="Times New Roman"/>
          <w:sz w:val="24"/>
        </w:rPr>
      </w:pPr>
      <w:r>
        <w:rPr>
          <w:rFonts w:hint="eastAsia" w:ascii="Times New Roman" w:hAnsi="Times New Roman"/>
          <w:sz w:val="24"/>
        </w:rPr>
        <w:t>（1）大数据管理</w:t>
      </w:r>
    </w:p>
    <w:p>
      <w:pPr>
        <w:spacing w:line="360" w:lineRule="auto"/>
        <w:ind w:firstLine="480" w:firstLineChars="200"/>
        <w:rPr>
          <w:rFonts w:ascii="Times New Roman" w:hAnsi="Times New Roman"/>
          <w:sz w:val="24"/>
        </w:rPr>
      </w:pPr>
      <w:r>
        <w:rPr>
          <w:rFonts w:hint="eastAsia" w:ascii="Times New Roman" w:hAnsi="Times New Roman"/>
          <w:sz w:val="24"/>
        </w:rPr>
        <w:t>借助医保与第三方联动，实现与医疗机构、商业保险公司、民政局、残联等第三方机构数据共享，优化供给、提升保障，便捷投保、优化服务，建立风险控制机制，</w:t>
      </w:r>
      <w:r>
        <w:rPr>
          <w:rFonts w:hint="eastAsia" w:ascii="Times New Roman" w:hAnsi="Times New Roman"/>
          <w:sz w:val="24"/>
          <w:lang w:eastAsia="zh-CN"/>
        </w:rPr>
        <w:t>更好地为</w:t>
      </w:r>
      <w:r>
        <w:rPr>
          <w:rFonts w:hint="eastAsia" w:ascii="Times New Roman" w:hAnsi="Times New Roman"/>
          <w:sz w:val="24"/>
        </w:rPr>
        <w:t>参保人服务。</w:t>
      </w:r>
    </w:p>
    <w:p>
      <w:pPr>
        <w:spacing w:line="360" w:lineRule="auto"/>
        <w:ind w:firstLine="480" w:firstLineChars="200"/>
        <w:rPr>
          <w:rFonts w:ascii="Times New Roman" w:hAnsi="Times New Roman"/>
          <w:sz w:val="24"/>
        </w:rPr>
      </w:pPr>
      <w:r>
        <w:rPr>
          <w:rFonts w:hint="eastAsia" w:ascii="Times New Roman" w:hAnsi="Times New Roman"/>
          <w:sz w:val="24"/>
        </w:rPr>
        <w:t>（2）数据风控管理</w:t>
      </w:r>
    </w:p>
    <w:p>
      <w:pPr>
        <w:spacing w:line="360" w:lineRule="auto"/>
        <w:ind w:firstLine="480" w:firstLineChars="200"/>
        <w:rPr>
          <w:rFonts w:ascii="Times New Roman" w:hAnsi="Times New Roman"/>
          <w:sz w:val="24"/>
        </w:rPr>
      </w:pPr>
      <w:r>
        <w:rPr>
          <w:rFonts w:hint="eastAsia" w:ascii="Times New Roman" w:hAnsi="Times New Roman"/>
          <w:sz w:val="24"/>
        </w:rPr>
        <w:t>数据风控管理为医疗信息交互提供全面的安全保障。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核心业务区业务中台功能要求</w:t>
      </w:r>
    </w:p>
    <w:p>
      <w:pPr>
        <w:spacing w:line="360" w:lineRule="auto"/>
        <w:ind w:firstLine="480" w:firstLineChars="200"/>
        <w:rPr>
          <w:rFonts w:ascii="Times New Roman" w:hAnsi="Times New Roman"/>
          <w:sz w:val="24"/>
        </w:rPr>
      </w:pPr>
      <w:r>
        <w:rPr>
          <w:rFonts w:hint="eastAsia" w:ascii="Times New Roman" w:hAnsi="Times New Roman"/>
          <w:sz w:val="24"/>
        </w:rPr>
        <w:t>核心业务区业务中台，对新疆维吾尔自治区医保信息平台规划的核心业务区各业务子系统提供全面的服务支撑，主要由15个业务中心组成，分别为基本信息中心、统一认证中心、电子凭证中心、用户中心、政策中心、风控中心、参保中心、结算中心、征缴中心、工作流引擎中心、报表中心、电子档案中心、消息中心、招采中心、移动支付中心。各中心根据实际业务的不同，分别提供API、SDK、H5等方式对各个子系统提供接口。</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基本信息中心</w:t>
      </w:r>
    </w:p>
    <w:p>
      <w:pPr>
        <w:spacing w:line="360" w:lineRule="auto"/>
        <w:ind w:firstLine="480" w:firstLineChars="200"/>
        <w:rPr>
          <w:rFonts w:ascii="Times New Roman" w:hAnsi="Times New Roman"/>
          <w:sz w:val="24"/>
        </w:rPr>
      </w:pPr>
      <w:r>
        <w:rPr>
          <w:rFonts w:hint="eastAsia" w:ascii="Times New Roman" w:hAnsi="Times New Roman"/>
          <w:sz w:val="24"/>
        </w:rPr>
        <w:t>基本信息中心提供人员和机构的基础信息管理，实现对经办用户、医保人员、执业人员、参保人员的基础信息，以及经办机构、两定机构、参保单位的法人基础信息的统一管理服务，提供对用户基本信息、机构法人信息的新增、修改和检索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统一认证中心</w:t>
      </w:r>
    </w:p>
    <w:p>
      <w:pPr>
        <w:spacing w:line="360" w:lineRule="auto"/>
        <w:ind w:firstLine="480" w:firstLineChars="200"/>
        <w:rPr>
          <w:rFonts w:ascii="Times New Roman" w:hAnsi="Times New Roman"/>
          <w:sz w:val="24"/>
        </w:rPr>
      </w:pPr>
      <w:r>
        <w:rPr>
          <w:rFonts w:hint="eastAsia" w:ascii="Times New Roman" w:hAnsi="Times New Roman"/>
          <w:sz w:val="24"/>
        </w:rPr>
        <w:t>统一认证中心，面向核心业务用户提供包含多种身份认证方式在内的统一身份认证、用户统一鉴权、登录服务等。</w:t>
      </w:r>
    </w:p>
    <w:p>
      <w:pPr>
        <w:spacing w:line="360" w:lineRule="auto"/>
        <w:ind w:firstLine="480" w:firstLineChars="200"/>
        <w:rPr>
          <w:rFonts w:ascii="Times New Roman" w:hAnsi="Times New Roman"/>
          <w:sz w:val="24"/>
        </w:rPr>
      </w:pPr>
      <w:r>
        <w:rPr>
          <w:rFonts w:hint="eastAsia" w:ascii="Times New Roman" w:hAnsi="Times New Roman"/>
          <w:sz w:val="24"/>
        </w:rPr>
        <w:t>统一认证中心要实现的目标:</w:t>
      </w:r>
    </w:p>
    <w:p>
      <w:pPr>
        <w:spacing w:line="360" w:lineRule="auto"/>
        <w:ind w:firstLine="480" w:firstLineChars="200"/>
        <w:rPr>
          <w:rFonts w:ascii="Times New Roman" w:hAnsi="Times New Roman"/>
          <w:sz w:val="24"/>
        </w:rPr>
      </w:pPr>
      <w:r>
        <w:rPr>
          <w:rFonts w:hint="eastAsia" w:ascii="Times New Roman" w:hAnsi="Times New Roman"/>
          <w:sz w:val="24"/>
        </w:rPr>
        <w:t>1、统一用户管理</w:t>
      </w:r>
    </w:p>
    <w:p>
      <w:pPr>
        <w:spacing w:line="360" w:lineRule="auto"/>
        <w:ind w:firstLine="480" w:firstLineChars="200"/>
        <w:rPr>
          <w:rFonts w:ascii="Times New Roman" w:hAnsi="Times New Roman"/>
          <w:sz w:val="24"/>
        </w:rPr>
      </w:pPr>
      <w:r>
        <w:rPr>
          <w:rFonts w:hint="eastAsia" w:ascii="Times New Roman" w:hAnsi="Times New Roman"/>
          <w:sz w:val="24"/>
        </w:rPr>
        <w:t>实现对自治区全区范围内经办用户统一管理，通过账号唯一识别。</w:t>
      </w:r>
    </w:p>
    <w:p>
      <w:pPr>
        <w:spacing w:line="360" w:lineRule="auto"/>
        <w:ind w:firstLine="480" w:firstLineChars="200"/>
        <w:rPr>
          <w:rFonts w:ascii="Times New Roman" w:hAnsi="Times New Roman"/>
          <w:sz w:val="24"/>
        </w:rPr>
      </w:pPr>
      <w:r>
        <w:rPr>
          <w:rFonts w:hint="eastAsia" w:ascii="Times New Roman" w:hAnsi="Times New Roman"/>
          <w:sz w:val="24"/>
        </w:rPr>
        <w:t>2、统一机构管理</w:t>
      </w:r>
    </w:p>
    <w:p>
      <w:pPr>
        <w:spacing w:line="360" w:lineRule="auto"/>
        <w:ind w:firstLine="480" w:firstLineChars="200"/>
        <w:rPr>
          <w:rFonts w:ascii="Times New Roman" w:hAnsi="Times New Roman"/>
          <w:sz w:val="24"/>
        </w:rPr>
      </w:pPr>
      <w:r>
        <w:rPr>
          <w:rFonts w:hint="eastAsia" w:ascii="Times New Roman" w:hAnsi="Times New Roman"/>
          <w:sz w:val="24"/>
        </w:rPr>
        <w:t>构建自治区全区范围内省医保局、地方医保部门、经办机构等组织机构统一集中管理服务，机构信息全国共享，通过机构编号唯一识别。</w:t>
      </w:r>
    </w:p>
    <w:p>
      <w:pPr>
        <w:spacing w:line="360" w:lineRule="auto"/>
        <w:ind w:firstLine="480" w:firstLineChars="200"/>
        <w:rPr>
          <w:rFonts w:ascii="Times New Roman" w:hAnsi="Times New Roman"/>
          <w:sz w:val="24"/>
        </w:rPr>
      </w:pPr>
      <w:r>
        <w:rPr>
          <w:rFonts w:hint="eastAsia" w:ascii="Times New Roman" w:hAnsi="Times New Roman"/>
          <w:sz w:val="24"/>
        </w:rPr>
        <w:t>3、统一授权管理</w:t>
      </w:r>
    </w:p>
    <w:p>
      <w:pPr>
        <w:spacing w:line="360" w:lineRule="auto"/>
        <w:ind w:firstLine="480" w:firstLineChars="200"/>
        <w:rPr>
          <w:rFonts w:ascii="Times New Roman" w:hAnsi="Times New Roman"/>
          <w:sz w:val="24"/>
        </w:rPr>
      </w:pPr>
      <w:r>
        <w:rPr>
          <w:rFonts w:hint="eastAsia" w:ascii="Times New Roman" w:hAnsi="Times New Roman"/>
          <w:sz w:val="24"/>
        </w:rPr>
        <w:t>支持自治区全区范围内分级授权管理：</w:t>
      </w:r>
    </w:p>
    <w:p>
      <w:pPr>
        <w:spacing w:line="360" w:lineRule="auto"/>
        <w:ind w:firstLine="480" w:firstLineChars="200"/>
        <w:rPr>
          <w:rFonts w:ascii="Times New Roman" w:hAnsi="Times New Roman"/>
          <w:sz w:val="24"/>
        </w:rPr>
      </w:pPr>
      <w:r>
        <w:rPr>
          <w:rFonts w:hint="eastAsia" w:ascii="Times New Roman" w:hAnsi="Times New Roman"/>
          <w:sz w:val="24"/>
        </w:rPr>
        <w:t>省级管理员通过省级统一门户系统对自己管辖范围内用户进行授权。</w:t>
      </w:r>
    </w:p>
    <w:p>
      <w:pPr>
        <w:spacing w:line="360" w:lineRule="auto"/>
        <w:ind w:firstLine="480" w:firstLineChars="200"/>
        <w:rPr>
          <w:rFonts w:ascii="Times New Roman" w:hAnsi="Times New Roman"/>
          <w:sz w:val="24"/>
        </w:rPr>
      </w:pPr>
      <w:r>
        <w:rPr>
          <w:rFonts w:hint="eastAsia" w:ascii="Times New Roman" w:hAnsi="Times New Roman"/>
          <w:sz w:val="24"/>
        </w:rPr>
        <w:t>4、统一登录管理</w:t>
      </w:r>
    </w:p>
    <w:p>
      <w:pPr>
        <w:spacing w:line="360" w:lineRule="auto"/>
        <w:ind w:firstLine="480" w:firstLineChars="200"/>
        <w:rPr>
          <w:rFonts w:ascii="Times New Roman" w:hAnsi="Times New Roman"/>
          <w:sz w:val="24"/>
        </w:rPr>
      </w:pPr>
      <w:r>
        <w:rPr>
          <w:rFonts w:hint="eastAsia" w:ascii="Times New Roman" w:hAnsi="Times New Roman"/>
          <w:sz w:val="24"/>
        </w:rPr>
        <w:t>支持自治区全区范围内统一登录：</w:t>
      </w:r>
    </w:p>
    <w:p>
      <w:pPr>
        <w:spacing w:line="360" w:lineRule="auto"/>
        <w:ind w:firstLine="480" w:firstLineChars="200"/>
        <w:rPr>
          <w:rFonts w:ascii="Times New Roman" w:hAnsi="Times New Roman"/>
          <w:sz w:val="24"/>
        </w:rPr>
      </w:pPr>
      <w:r>
        <w:rPr>
          <w:rFonts w:hint="eastAsia" w:ascii="Times New Roman" w:hAnsi="Times New Roman"/>
          <w:sz w:val="24"/>
        </w:rPr>
        <w:t>自治区医保局用户通过自治区统一门户进行登录认证；</w:t>
      </w:r>
    </w:p>
    <w:p>
      <w:pPr>
        <w:spacing w:line="360" w:lineRule="auto"/>
        <w:ind w:firstLine="480" w:firstLineChars="200"/>
        <w:rPr>
          <w:rFonts w:ascii="Times New Roman" w:hAnsi="Times New Roman"/>
          <w:sz w:val="24"/>
        </w:rPr>
      </w:pPr>
      <w:r>
        <w:rPr>
          <w:rFonts w:hint="eastAsia" w:ascii="Times New Roman" w:hAnsi="Times New Roman"/>
          <w:sz w:val="24"/>
        </w:rPr>
        <w:t>用户统一登录后，可以访问已授权的各级业务系统。</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电子凭证中心</w:t>
      </w:r>
    </w:p>
    <w:p>
      <w:pPr>
        <w:spacing w:line="360" w:lineRule="auto"/>
        <w:ind w:firstLine="480" w:firstLineChars="200"/>
        <w:rPr>
          <w:rFonts w:ascii="Times New Roman" w:hAnsi="Times New Roman"/>
          <w:sz w:val="24"/>
        </w:rPr>
      </w:pPr>
      <w:r>
        <w:rPr>
          <w:rFonts w:hint="eastAsia" w:ascii="Times New Roman" w:hAnsi="Times New Roman"/>
          <w:sz w:val="24"/>
        </w:rPr>
        <w:t>电子凭证中心，主要对外提供医保电子凭证的激活、授权、医保电子凭证二维码生成、医保电子凭证二维码验证管理等功能，并负责与国家核心业务区电子凭证业务中台进行数据交互。</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用户中心</w:t>
      </w:r>
    </w:p>
    <w:p>
      <w:pPr>
        <w:spacing w:line="360" w:lineRule="auto"/>
        <w:ind w:firstLine="480" w:firstLineChars="200"/>
        <w:rPr>
          <w:rFonts w:ascii="Times New Roman" w:hAnsi="Times New Roman"/>
          <w:sz w:val="24"/>
        </w:rPr>
      </w:pPr>
      <w:r>
        <w:rPr>
          <w:rFonts w:hint="eastAsia" w:ascii="Times New Roman" w:hAnsi="Times New Roman"/>
          <w:sz w:val="24"/>
        </w:rPr>
        <w:t>用户中心，实现对经办用户、医保人员、执业人员、参保人员的用户的统一管理服务，提供对用户身份信息检索服务。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政策中心</w:t>
      </w:r>
    </w:p>
    <w:p>
      <w:pPr>
        <w:spacing w:line="360" w:lineRule="auto"/>
        <w:ind w:firstLine="480" w:firstLineChars="200"/>
        <w:rPr>
          <w:rFonts w:ascii="Times New Roman" w:hAnsi="Times New Roman"/>
          <w:sz w:val="24"/>
        </w:rPr>
      </w:pPr>
      <w:r>
        <w:rPr>
          <w:rFonts w:hint="eastAsia" w:ascii="Times New Roman" w:hAnsi="Times New Roman"/>
          <w:sz w:val="24"/>
        </w:rPr>
        <w:t>政策中心，提供险种管理、手术标准目录管理、疾病诊断目录管理、单病种信息管理、单病种与疾病诊断关系信息管理、门慢门特信息管理、药品目录（中成药、西药）管理、药品目录（中草药）管理、药品目录（自制药）管理、诊疗项目目录管理、服务设施目录管理、医用耗材目录管理、征缴参数管理；个人支付管理：个人支付方式信息维护、个人政策项维护、政策算法维护；医疗机构支付方式管理：医疗机构支付方式信息维护、医疗机构支付计算模型维护、国家支付标准信息管理、地方支付方式信息管理、支付参数信息管理、支付参数组明细管理、支付参数组管理、支付方式信息管理；服务项目价格管理：服务项目和价格的备案信息、服务项目和价格的备案明细、医疗机构医疗服务项目、医疗机构医疗药品价格等。</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风控中心</w:t>
      </w:r>
    </w:p>
    <w:p>
      <w:pPr>
        <w:spacing w:line="360" w:lineRule="auto"/>
        <w:ind w:firstLine="480" w:firstLineChars="200"/>
        <w:rPr>
          <w:rFonts w:ascii="Times New Roman" w:hAnsi="Times New Roman"/>
          <w:sz w:val="24"/>
        </w:rPr>
      </w:pPr>
      <w:r>
        <w:rPr>
          <w:rFonts w:hint="eastAsia" w:ascii="Times New Roman" w:hAnsi="Times New Roman"/>
          <w:sz w:val="24"/>
        </w:rPr>
        <w:t>风控中心覆盖内控管理的全业务流程服务，包括监控规则管理服务、风险点分析服务、风险控制任务管理服务、汇总统计分析服务、违规信息查询服务、处罚信息查询服务等，并通过风险点实体、风险点分析、分析任务管理，完成风控监管。各业务子系统按统一按编码标准，对服务事项和业务环节进行编码，并在业务经办日志中进行记录，业务日志要做到可回溯业务经办。</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参保中心</w:t>
      </w:r>
    </w:p>
    <w:p>
      <w:pPr>
        <w:spacing w:line="360" w:lineRule="auto"/>
        <w:ind w:firstLine="480" w:firstLineChars="200"/>
        <w:rPr>
          <w:rFonts w:ascii="Times New Roman" w:hAnsi="Times New Roman"/>
          <w:sz w:val="24"/>
        </w:rPr>
      </w:pPr>
      <w:r>
        <w:rPr>
          <w:rFonts w:hint="eastAsia" w:ascii="Times New Roman" w:hAnsi="Times New Roman"/>
          <w:sz w:val="24"/>
        </w:rPr>
        <w:t>参保中心对所有参保对象的参保关系进行管理，包括参保对象的险种增加、险种暂停缴费、险种终止缴费、险种信息变更、险种附加信息的新增（变更）、职工参保的缴费基数进行新增（变更）等服务，并对外提供参保对象参保信息查询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结算中心</w:t>
      </w:r>
    </w:p>
    <w:p>
      <w:pPr>
        <w:spacing w:line="360" w:lineRule="auto"/>
        <w:ind w:firstLine="480" w:firstLineChars="200"/>
        <w:rPr>
          <w:rFonts w:ascii="Times New Roman" w:hAnsi="Times New Roman"/>
          <w:sz w:val="24"/>
        </w:rPr>
      </w:pPr>
      <w:r>
        <w:rPr>
          <w:rFonts w:hint="eastAsia" w:ascii="Times New Roman" w:hAnsi="Times New Roman"/>
          <w:sz w:val="24"/>
        </w:rPr>
        <w:t>结算中心提供对个人待遇支付算法和医药机构支付算法服务，以及药店购药、职工住院、职工门诊、居民住院、居民门诊的结算服务、撤销、查询服务。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征缴中心</w:t>
      </w:r>
    </w:p>
    <w:p>
      <w:pPr>
        <w:spacing w:line="360" w:lineRule="auto"/>
        <w:ind w:firstLine="480" w:firstLineChars="200"/>
        <w:rPr>
          <w:rFonts w:ascii="Times New Roman" w:hAnsi="Times New Roman"/>
          <w:sz w:val="24"/>
        </w:rPr>
      </w:pPr>
      <w:r>
        <w:rPr>
          <w:rFonts w:hint="eastAsia" w:ascii="Times New Roman" w:hAnsi="Times New Roman"/>
          <w:sz w:val="24"/>
        </w:rPr>
        <w:t>征缴中心主要服务包括：职工缴费信息查询、单位缴费信息查询、居民缴费信息查询、单位缴费信息、职工缴费信息、居民缴费信息写入、单位缴费明细信息交换、职工个人缴费明细交换、灵活就业缴费明细交换、城乡居民缴费明细交换、缴费信息反馈、医疗保险费对账信息交换、对账信息反馈、账户收入、账户收入查询、账户信息查询等。</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工作流引擎中心</w:t>
      </w:r>
    </w:p>
    <w:p>
      <w:pPr>
        <w:spacing w:line="360" w:lineRule="auto"/>
        <w:ind w:firstLine="480" w:firstLineChars="200"/>
        <w:rPr>
          <w:rFonts w:ascii="Times New Roman" w:hAnsi="Times New Roman"/>
          <w:sz w:val="24"/>
        </w:rPr>
      </w:pPr>
      <w:r>
        <w:rPr>
          <w:rFonts w:hint="eastAsia" w:ascii="Times New Roman" w:hAnsi="Times New Roman"/>
          <w:sz w:val="24"/>
        </w:rPr>
        <w:t>工作流引擎中心通过建立一整套统一的业务流程服务体系，为应用系统提供了规范的业务流程设计、运行、管理、监控等服务。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报表中心</w:t>
      </w:r>
    </w:p>
    <w:p>
      <w:pPr>
        <w:spacing w:line="360" w:lineRule="auto"/>
        <w:ind w:firstLine="480" w:firstLineChars="200"/>
        <w:rPr>
          <w:rFonts w:ascii="Times New Roman" w:hAnsi="Times New Roman"/>
          <w:sz w:val="24"/>
        </w:rPr>
      </w:pPr>
      <w:r>
        <w:rPr>
          <w:rFonts w:hint="eastAsia" w:ascii="Times New Roman" w:hAnsi="Times New Roman"/>
          <w:sz w:val="24"/>
        </w:rPr>
        <w:t>报表中心服务主要包括：模板管理、数据源管理、资源管理等。</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电子档案中心</w:t>
      </w:r>
    </w:p>
    <w:p>
      <w:pPr>
        <w:spacing w:line="360" w:lineRule="auto"/>
        <w:ind w:firstLine="480" w:firstLineChars="200"/>
        <w:rPr>
          <w:rFonts w:ascii="Times New Roman" w:hAnsi="Times New Roman"/>
          <w:sz w:val="24"/>
        </w:rPr>
      </w:pPr>
      <w:r>
        <w:rPr>
          <w:rFonts w:hint="eastAsia" w:ascii="Times New Roman" w:hAnsi="Times New Roman"/>
          <w:sz w:val="24"/>
        </w:rPr>
        <w:t>电子档案中心提供电子档案的管理服务，实现电子档案内容的统一化管理，包括电子档案的上传、调阅、归档、修改和删除及对应的审核功能。</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消息中心</w:t>
      </w:r>
    </w:p>
    <w:p>
      <w:pPr>
        <w:spacing w:line="360" w:lineRule="auto"/>
        <w:ind w:firstLine="480" w:firstLineChars="200"/>
        <w:rPr>
          <w:rFonts w:ascii="Times New Roman" w:hAnsi="Times New Roman"/>
          <w:sz w:val="24"/>
        </w:rPr>
      </w:pPr>
      <w:r>
        <w:rPr>
          <w:rFonts w:hint="eastAsia" w:ascii="Times New Roman" w:hAnsi="Times New Roman"/>
          <w:sz w:val="24"/>
        </w:rPr>
        <w:t>消息中心主要完成消息的接收、发送和保存，再基于一定的规则以邮件、短信、站内消息等方式推送消息到pc端或手机，以及对消息进行管理。接收来自业务系统应用用户的消息，然后基于一定的规则把消息进行推送。</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招采中心</w:t>
      </w:r>
    </w:p>
    <w:p>
      <w:pPr>
        <w:spacing w:line="360" w:lineRule="auto"/>
        <w:ind w:firstLine="480" w:firstLineChars="200"/>
        <w:rPr>
          <w:rFonts w:ascii="Times New Roman" w:hAnsi="Times New Roman"/>
          <w:sz w:val="24"/>
        </w:rPr>
      </w:pPr>
      <w:r>
        <w:rPr>
          <w:rFonts w:hint="eastAsia" w:ascii="Times New Roman" w:hAnsi="Times New Roman"/>
          <w:sz w:val="24"/>
        </w:rPr>
        <w:t>招采中心主要提供药品挂网发布、更新、查询、统计等，为政府单位提供药品和耗材采购计划管理、限价管理，为医疗机构提供药品和耗材采购量的上报及查询等。</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移动支付中心</w:t>
      </w:r>
    </w:p>
    <w:p>
      <w:pPr>
        <w:spacing w:line="360" w:lineRule="auto"/>
        <w:ind w:firstLine="480" w:firstLineChars="200"/>
        <w:rPr>
          <w:rFonts w:ascii="Times New Roman" w:hAnsi="Times New Roman"/>
          <w:sz w:val="24"/>
        </w:rPr>
      </w:pPr>
      <w:r>
        <w:rPr>
          <w:rFonts w:hint="eastAsia" w:ascii="Times New Roman" w:hAnsi="Times New Roman"/>
          <w:sz w:val="24"/>
        </w:rPr>
        <w:t>核心业务区移动支付中心是医保结算能力输出的唯一出口，负责管理各类渠道、两定机构的接入，定点医药机构或互联网医药机构在开展医保线上结算业务时，通过专线、有线VPN、无线VPDN 等方式与移动支付中心联通。</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业务部署要求</w:t>
      </w:r>
    </w:p>
    <w:p>
      <w:pPr>
        <w:spacing w:line="360" w:lineRule="auto"/>
        <w:ind w:firstLine="480" w:firstLineChars="200"/>
        <w:rPr>
          <w:rFonts w:ascii="Times New Roman" w:hAnsi="Times New Roman"/>
          <w:sz w:val="24"/>
        </w:rPr>
      </w:pPr>
      <w:r>
        <w:rPr>
          <w:rFonts w:hint="eastAsia" w:ascii="Times New Roman" w:hAnsi="Times New Roman"/>
          <w:sz w:val="24"/>
        </w:rPr>
        <w:t>根据自治区本级以及各地州市政策不同对医保业务进行需求分析、本地化配置、联调测试等内容。</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数据清洗要求</w:t>
      </w:r>
    </w:p>
    <w:p>
      <w:pPr>
        <w:spacing w:line="360" w:lineRule="auto"/>
        <w:ind w:firstLine="480" w:firstLineChars="200"/>
        <w:rPr>
          <w:rFonts w:ascii="Times New Roman" w:hAnsi="Times New Roman"/>
          <w:sz w:val="24"/>
        </w:rPr>
      </w:pPr>
      <w:r>
        <w:rPr>
          <w:rFonts w:hint="eastAsia" w:ascii="Times New Roman" w:hAnsi="Times New Roman"/>
          <w:sz w:val="24"/>
        </w:rPr>
        <w:t>基础信息资源、业务服务信息资源的初始数据需要采用批量移植方式从各地州市和区直系统导入到自治区医保信息平台中。各地州市的医保数据按照国家医保局制定的统一标准规范采集到自治区医保信息平台，然后再从自治区医保信息平台移植到国家平台。对于发现存在问题的数据根据国家局反馈进行整改后再进行移植。对于确认后的数据，将导入到大数据平台做为决策分析的基础数据。业务管理信息资源和公共服务信息资源随着业务的开展逐步积累产生数据。</w:t>
      </w:r>
    </w:p>
    <w:p>
      <w:pPr>
        <w:spacing w:line="360" w:lineRule="auto"/>
        <w:ind w:firstLine="480" w:firstLineChars="200"/>
        <w:rPr>
          <w:rFonts w:ascii="Times New Roman" w:hAnsi="Times New Roman"/>
          <w:sz w:val="24"/>
        </w:rPr>
      </w:pPr>
      <w:r>
        <w:rPr>
          <w:rFonts w:hint="eastAsia" w:ascii="Times New Roman" w:hAnsi="Times New Roman"/>
          <w:sz w:val="24"/>
        </w:rPr>
        <w:t>为推进医疗保障信息平台各项业务领域之间、各地区之间的信息共享、协同办理和有效衔接，一是要实现全民医疗保障业务全过程、全周期信息的采集和电子化，特别是基础信息统一采集。二是要实现全民医疗保障各类业务系统内部的数据整理，核对各系统间的业务状态是否一致，补齐补记补实，提高数据质量。三是要实现原分散系统、分散数据的整合，合理设计数据结构，提高数据共享程度。四是要将数据进一步由地州市医保业务系统向自治区医保信息平台数据中心集中，再由自治区医保信息平台统一向国家局数据中心集中，实现数据向上迁移。</w:t>
      </w:r>
    </w:p>
    <w:p>
      <w:pPr>
        <w:spacing w:line="360" w:lineRule="auto"/>
        <w:ind w:firstLine="480" w:firstLineChars="200"/>
        <w:rPr>
          <w:rFonts w:ascii="Times New Roman" w:hAnsi="Times New Roman"/>
          <w:sz w:val="24"/>
        </w:rPr>
      </w:pPr>
      <w:r>
        <w:rPr>
          <w:rFonts w:hint="eastAsia" w:ascii="Times New Roman" w:hAnsi="Times New Roman"/>
          <w:sz w:val="24"/>
        </w:rPr>
        <w:t>历史数据迁移和系统切换工作是在自治区本级和全疆所有地州市现有基本医疗保险信息系统的业务功能范围和数据基础上，采用系统数据分步增量转换方式将自治区本级和各地州市现有基本医疗保险信息系统原有的数据切换到自治区医疗保障信息平台。</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项目技术需求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基础信息管理子系统支持访问的总用户数不低于5000人，最大支持在线用户数不低于1500人。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医保核心业务经办子系统支持访问的总用户数不低于</w:t>
      </w:r>
      <w:r>
        <w:rPr>
          <w:rFonts w:ascii="Times New Roman" w:hAnsi="Times New Roman"/>
          <w:color w:val="000000"/>
          <w:sz w:val="24"/>
        </w:rPr>
        <w:t>50</w:t>
      </w:r>
      <w:r>
        <w:rPr>
          <w:rFonts w:hint="eastAsia" w:ascii="Times New Roman" w:hAnsi="Times New Roman"/>
          <w:color w:val="000000"/>
          <w:sz w:val="24"/>
        </w:rPr>
        <w:t>00人，最大支持在线用户数不低于2500人。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基础信息管理子系统支持的并发业务量大于40笔/秒；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医保核心业务经办子系统支持的并发业务量大于250笔/秒；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3</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3</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（2）投标方提供的软件应该基于国家局下发的业务中台进行开发，支持对业务中台服务调用，并提供持续的更新服务。</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项目服务要求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投标方应提供基础信息管理子系统、医保核心业务经办子系统、核心业务区业务中台相关功能模块的集成工作，包括相关软件部署，系统软件上线运行等。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投标方应配合软件集成商完成与其他系统之间的互联、测试等。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45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投标方参与人员数量：针对本标包业务系统，总数不少于25人。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投标方参与人员数量：针对本标包业务系统，总数不少于10人。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投标方驻场参与人员数量：针对本标包业务系统，总数不少于15人。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（6）数据清洗</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投标方参与人员数量，总数不少于15人。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投标方至少需提交的文档：数据清洗、转换、迁移总体方案、历史数据情况调研报告、软硬件环境需求、数据迁移脚本、数据迁移应急方案、数据质量验证报告等。</w:t>
      </w:r>
    </w:p>
    <w:p>
      <w:pPr>
        <w:spacing w:line="360" w:lineRule="auto"/>
        <w:ind w:firstLine="480" w:firstLineChars="200"/>
        <w:rPr>
          <w:rFonts w:ascii="Times New Roman" w:hAnsi="Times New Roman"/>
          <w:sz w:val="24"/>
        </w:rPr>
      </w:pPr>
      <w:r>
        <w:rPr>
          <w:rFonts w:hint="eastAsia" w:ascii="Times New Roman" w:hAnsi="Times New Roman"/>
          <w:sz w:val="24"/>
        </w:rPr>
        <w:t>（7）驻场服务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本项目服务期内需提供至少18名本项目专职长期驻场工程师，驻场工程师工作量不额外计费，驻场工程师具备本系统进行修改、调整能力，并按客户要求调整本系统（包括驻场工程师工作量内的新需求）。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（8）系统优化服务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（9）保密内容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（10）源代码和产权要求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5年内，在招标方提出要求的3天内无条件提供本项目源代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（3）所供软件出现问题时，其响应时间不超过15分钟，一般故障处理时间不大于2小时；特殊情况下，故障修复时间不大于24小时。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spacing w:line="360" w:lineRule="auto"/>
        <w:ind w:firstLine="480" w:firstLineChars="200"/>
        <w:rPr>
          <w:rFonts w:ascii="Times New Roman" w:hAnsi="Times New Roman"/>
          <w:sz w:val="24"/>
        </w:rPr>
      </w:pPr>
      <w:r>
        <w:rPr>
          <w:rFonts w:hint="eastAsia" w:ascii="Times New Roman" w:hAnsi="Times New Roman"/>
          <w:sz w:val="24"/>
        </w:rPr>
        <w:t>投标人须配合医保业务电子档案系统供应商完成电子档案系统与本标包业务系统接口对接。</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bookmarkEnd w:id="185"/>
    <w:bookmarkEnd w:id="186"/>
    <w:p>
      <w:bookmarkStart w:id="189" w:name="_Toc494375081"/>
      <w:bookmarkStart w:id="190" w:name="_Toc534816639"/>
      <w:bookmarkStart w:id="191" w:name="_Toc534725610"/>
      <w:bookmarkStart w:id="192" w:name="_Toc120614281"/>
    </w:p>
    <w:p/>
    <w:p/>
    <w:p/>
    <w:p/>
    <w:p/>
    <w:p/>
    <w:p/>
    <w:p>
      <w:pPr>
        <w:widowControl/>
        <w:jc w:val="left"/>
        <w:rPr>
          <w:rFonts w:ascii="Arial" w:hAnsi="Arial" w:eastAsia="黑体" w:cs="Arial"/>
          <w:b/>
          <w:bCs/>
          <w:sz w:val="44"/>
          <w:szCs w:val="44"/>
        </w:rPr>
      </w:pPr>
      <w:r>
        <w:br w:type="page"/>
      </w:r>
    </w:p>
    <w:p>
      <w:pPr>
        <w:pStyle w:val="3"/>
      </w:pPr>
      <w:r>
        <w:rPr>
          <w:rFonts w:hint="eastAsia"/>
        </w:rPr>
        <w:t>第五章  评标方法与评标标准</w:t>
      </w:r>
      <w:bookmarkEnd w:id="189"/>
      <w:bookmarkEnd w:id="190"/>
      <w:bookmarkEnd w:id="191"/>
    </w:p>
    <w:p/>
    <w:p>
      <w:pPr>
        <w:pStyle w:val="21"/>
        <w:ind w:firstLine="0"/>
        <w:rPr>
          <w:rFonts w:ascii="宋体" w:hAnsi="宋体"/>
          <w:b/>
          <w:sz w:val="36"/>
          <w:szCs w:val="36"/>
        </w:rPr>
      </w:pPr>
      <w:r>
        <w:rPr>
          <w:rFonts w:hAnsi="宋体"/>
          <w:b/>
        </w:rPr>
        <w:t>一、</w:t>
      </w:r>
      <w:r>
        <w:rPr>
          <w:rFonts w:hint="eastAsia" w:hAnsi="宋体"/>
          <w:b/>
        </w:rPr>
        <w:t>评标方法与定标原则</w:t>
      </w:r>
    </w:p>
    <w:p>
      <w:pPr>
        <w:pStyle w:val="21"/>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21"/>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21"/>
        <w:ind w:firstLine="0"/>
        <w:rPr>
          <w:rFonts w:hAnsi="宋体"/>
          <w:b/>
        </w:rPr>
      </w:pPr>
      <w:r>
        <w:rPr>
          <w:rFonts w:hint="eastAsia" w:hAnsi="宋体"/>
          <w:b/>
        </w:rPr>
        <w:t>二</w:t>
      </w:r>
      <w:r>
        <w:rPr>
          <w:rFonts w:hAnsi="宋体"/>
          <w:b/>
        </w:rPr>
        <w:t>、</w:t>
      </w:r>
      <w:r>
        <w:rPr>
          <w:rFonts w:hint="eastAsia" w:hAnsi="宋体"/>
          <w:b/>
        </w:rPr>
        <w:t>评标标准</w:t>
      </w:r>
    </w:p>
    <w:p>
      <w:pPr>
        <w:jc w:val="center"/>
      </w:pPr>
      <w:r>
        <w:rPr>
          <w:rFonts w:hint="eastAsia"/>
        </w:rPr>
        <w:t>评分办法</w:t>
      </w:r>
    </w:p>
    <w:tbl>
      <w:tblPr>
        <w:tblStyle w:val="17"/>
        <w:tblW w:w="8819"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7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shd w:val="solid" w:color="C0C0C0" w:fill="auto"/>
          </w:tcPr>
          <w:p>
            <w:pPr>
              <w:jc w:val="center"/>
              <w:rPr>
                <w:rFonts w:ascii="宋体" w:hAnsi="宋体"/>
              </w:rPr>
            </w:pPr>
            <w:r>
              <w:rPr>
                <w:rFonts w:hint="eastAsia" w:ascii="宋体" w:hAnsi="宋体"/>
              </w:rPr>
              <w:t>项目</w:t>
            </w:r>
          </w:p>
        </w:tc>
        <w:tc>
          <w:tcPr>
            <w:tcW w:w="7549" w:type="dxa"/>
            <w:shd w:val="solid" w:color="C0C0C0" w:fill="auto"/>
          </w:tcPr>
          <w:p>
            <w:pPr>
              <w:jc w:val="center"/>
              <w:rPr>
                <w:rFonts w:ascii="宋体" w:hAnsi="宋体"/>
              </w:rPr>
            </w:pPr>
            <w:r>
              <w:rPr>
                <w:rFonts w:hint="eastAsia" w:ascii="宋体" w:hAnsi="宋体"/>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Align w:val="center"/>
          </w:tcPr>
          <w:p>
            <w:pPr>
              <w:jc w:val="center"/>
              <w:rPr>
                <w:rFonts w:ascii="宋体" w:hAnsi="宋体"/>
              </w:rPr>
            </w:pPr>
            <w:r>
              <w:rPr>
                <w:rFonts w:hint="eastAsia" w:ascii="宋体" w:hAnsi="宋体"/>
              </w:rPr>
              <w:t>投标报价</w:t>
            </w:r>
          </w:p>
          <w:p>
            <w:pPr>
              <w:jc w:val="center"/>
              <w:rPr>
                <w:rFonts w:ascii="宋体" w:hAnsi="宋体"/>
              </w:rPr>
            </w:pPr>
            <w:r>
              <w:rPr>
                <w:rFonts w:hint="eastAsia" w:ascii="宋体" w:hAnsi="宋体"/>
              </w:rPr>
              <w:t>（10分）</w:t>
            </w:r>
          </w:p>
        </w:tc>
        <w:tc>
          <w:tcPr>
            <w:tcW w:w="7549" w:type="dxa"/>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pPr>
              <w:rPr>
                <w:rFonts w:ascii="宋体" w:hAnsi="宋体"/>
              </w:rPr>
            </w:pPr>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restart"/>
            <w:vAlign w:val="center"/>
          </w:tcPr>
          <w:p>
            <w:pPr>
              <w:jc w:val="center"/>
              <w:rPr>
                <w:rFonts w:ascii="宋体" w:hAnsi="宋体"/>
              </w:rPr>
            </w:pPr>
            <w:r>
              <w:rPr>
                <w:rFonts w:hint="eastAsia" w:ascii="宋体" w:hAnsi="宋体"/>
              </w:rPr>
              <w:t>履约能力</w:t>
            </w:r>
          </w:p>
          <w:p>
            <w:pPr>
              <w:jc w:val="center"/>
              <w:rPr>
                <w:rFonts w:ascii="宋体" w:hAnsi="宋体"/>
              </w:rPr>
            </w:pPr>
            <w:r>
              <w:rPr>
                <w:rFonts w:ascii="宋体" w:hAnsi="宋体"/>
              </w:rPr>
              <w:t>（</w:t>
            </w:r>
            <w:r>
              <w:rPr>
                <w:rFonts w:hint="eastAsia" w:ascii="宋体" w:hAnsi="宋体"/>
              </w:rPr>
              <w:t>20</w:t>
            </w:r>
            <w:r>
              <w:rPr>
                <w:rFonts w:ascii="宋体" w:hAnsi="宋体"/>
              </w:rPr>
              <w:t>分）</w:t>
            </w:r>
          </w:p>
        </w:tc>
        <w:tc>
          <w:tcPr>
            <w:tcW w:w="7549" w:type="dxa"/>
          </w:tcPr>
          <w:p>
            <w:pPr>
              <w:rPr>
                <w:rFonts w:ascii="宋体" w:hAnsi="宋体"/>
              </w:rPr>
            </w:pPr>
            <w:r>
              <w:rPr>
                <w:rFonts w:hint="eastAsia" w:ascii="宋体" w:hAnsi="宋体"/>
              </w:rPr>
              <w:t>具有“基础信息管理系统”相关的计算机软件著作权登记证书的得0.5分；</w:t>
            </w:r>
          </w:p>
          <w:p>
            <w:pPr>
              <w:rPr>
                <w:rFonts w:ascii="宋体" w:hAnsi="宋体"/>
              </w:rPr>
            </w:pPr>
            <w:r>
              <w:rPr>
                <w:rFonts w:hint="eastAsia" w:ascii="宋体" w:hAnsi="宋体"/>
              </w:rPr>
              <w:t>具有“医保业务基础系统”相关的计算机软件著作权登记证书的得0.5分；</w:t>
            </w:r>
          </w:p>
          <w:p>
            <w:pPr>
              <w:rPr>
                <w:rFonts w:ascii="宋体" w:hAnsi="宋体"/>
              </w:rPr>
            </w:pPr>
            <w:r>
              <w:rPr>
                <w:rFonts w:hint="eastAsia" w:ascii="宋体" w:hAnsi="宋体"/>
              </w:rPr>
              <w:t>具有“医保电子凭证管理系统”相关的计算机软件著作权登记证书的得0.5分；</w:t>
            </w:r>
          </w:p>
          <w:p>
            <w:pPr>
              <w:rPr>
                <w:rFonts w:ascii="宋体" w:hAnsi="宋体"/>
              </w:rPr>
            </w:pPr>
            <w:r>
              <w:rPr>
                <w:rFonts w:hint="eastAsia" w:ascii="宋体" w:hAnsi="宋体"/>
              </w:rPr>
              <w:t>具有“医保移动支付系统”相关的计算机软件著作权登记证书的得0.5分；</w:t>
            </w:r>
          </w:p>
          <w:p>
            <w:pPr>
              <w:rPr>
                <w:rFonts w:ascii="宋体" w:hAnsi="宋体"/>
              </w:rPr>
            </w:pPr>
            <w:r>
              <w:rPr>
                <w:rFonts w:hint="eastAsia" w:ascii="宋体" w:hAnsi="宋体"/>
              </w:rPr>
              <w:t>具有“医保规则配置系统"相关的计算机软件著作权登记证书的得0.5分；</w:t>
            </w:r>
          </w:p>
          <w:p>
            <w:pPr>
              <w:rPr>
                <w:rFonts w:ascii="宋体" w:hAnsi="宋体"/>
              </w:rPr>
            </w:pPr>
            <w:r>
              <w:rPr>
                <w:rFonts w:hint="eastAsia" w:ascii="宋体" w:hAnsi="宋体"/>
              </w:rPr>
              <w:t>具有“医税数据共享平台”相关的计算机软件著作权登记证书的得0.5分；</w:t>
            </w:r>
          </w:p>
          <w:p>
            <w:pPr>
              <w:rPr>
                <w:rFonts w:ascii="宋体" w:hAnsi="宋体"/>
              </w:rPr>
            </w:pPr>
            <w:r>
              <w:rPr>
                <w:rFonts w:hint="eastAsia" w:ascii="宋体" w:hAnsi="宋体"/>
              </w:rPr>
              <w:t>具有“长期护理保险信息管理系统”相关的计算机软件著作权登记证书的得0.5分；</w:t>
            </w:r>
          </w:p>
          <w:p>
            <w:pPr>
              <w:rPr>
                <w:rFonts w:ascii="宋体" w:hAnsi="宋体"/>
              </w:rPr>
            </w:pPr>
            <w:r>
              <w:rPr>
                <w:rFonts w:hint="eastAsia" w:ascii="宋体" w:hAnsi="宋体"/>
              </w:rPr>
              <w:t>具有“药店云MIS”相关的计算机软件著作权登记证书的得0.5分；</w:t>
            </w:r>
          </w:p>
          <w:p>
            <w:pPr>
              <w:rPr>
                <w:rFonts w:ascii="宋体" w:hAnsi="宋体"/>
              </w:rPr>
            </w:pPr>
            <w:r>
              <w:rPr>
                <w:rFonts w:hint="eastAsia" w:ascii="宋体" w:hAnsi="宋体"/>
              </w:rPr>
              <w:t>满分4分。</w:t>
            </w:r>
          </w:p>
          <w:p>
            <w:pPr>
              <w:rPr>
                <w:rFonts w:ascii="宋体" w:hAnsi="宋体"/>
              </w:rPr>
            </w:pPr>
            <w:r>
              <w:rPr>
                <w:rFonts w:hint="eastAsia" w:ascii="宋体" w:hAnsi="宋体"/>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0" w:type="dxa"/>
            <w:vMerge w:val="continue"/>
          </w:tcPr>
          <w:p>
            <w:pPr>
              <w:rPr>
                <w:rFonts w:ascii="宋体" w:hAnsi="宋体"/>
              </w:rPr>
            </w:pPr>
          </w:p>
        </w:tc>
        <w:tc>
          <w:tcPr>
            <w:tcW w:w="7549" w:type="dxa"/>
          </w:tcPr>
          <w:p>
            <w:pPr>
              <w:rPr>
                <w:rFonts w:ascii="宋体" w:hAnsi="宋体"/>
              </w:rPr>
            </w:pPr>
            <w:r>
              <w:rPr>
                <w:rFonts w:hint="eastAsia"/>
              </w:rPr>
              <w:t>投标人具有CMMI5级认证证书得3分，具有CMMI4级认证证书得2分，具有CMMI3级及以下认证证书得1分，没有不得分。（提供证书复印件并加盖公章、原件备查）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0" w:type="dxa"/>
            <w:vMerge w:val="continue"/>
          </w:tcPr>
          <w:p>
            <w:pPr>
              <w:rPr>
                <w:rFonts w:ascii="宋体" w:hAnsi="宋体"/>
              </w:rPr>
            </w:pPr>
          </w:p>
        </w:tc>
        <w:tc>
          <w:tcPr>
            <w:tcW w:w="7549" w:type="dxa"/>
          </w:tcPr>
          <w:p>
            <w:r>
              <w:rPr>
                <w:rFonts w:hint="eastAsia"/>
              </w:rPr>
              <w:t>投标人获得ITSS信息技术服务运行维护标准贰级及以上等级的得2分，低于贰级（不含）的1分，没有不得分。</w:t>
            </w:r>
          </w:p>
          <w:p>
            <w:r>
              <w:rPr>
                <w:rFonts w:hint="eastAsia"/>
              </w:rPr>
              <w:t>（提供证书复印件并</w:t>
            </w:r>
            <w:r>
              <w:rPr>
                <w:rFonts w:hint="eastAsia" w:ascii="宋体" w:hAnsi="宋体"/>
              </w:rPr>
              <w:t>加盖公章、原件备查</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1270" w:type="dxa"/>
            <w:vMerge w:val="continue"/>
          </w:tcPr>
          <w:p>
            <w:pPr>
              <w:rPr>
                <w:rFonts w:ascii="宋体" w:hAnsi="宋体"/>
              </w:rPr>
            </w:pPr>
          </w:p>
        </w:tc>
        <w:tc>
          <w:tcPr>
            <w:tcW w:w="7549" w:type="dxa"/>
          </w:tcPr>
          <w:p>
            <w:r>
              <w:rPr>
                <w:rFonts w:hint="eastAsia"/>
              </w:rPr>
              <w:t>投标人同时具有下述任意两项（含两项）以上资质证书的得2分，只有一项的得1分，没有不得分（提供证书复印件并加盖公章、原件备查）：</w:t>
            </w:r>
          </w:p>
          <w:p>
            <w:r>
              <w:rPr>
                <w:rFonts w:hint="eastAsia"/>
              </w:rPr>
              <w:t>（1）具有中国网络安全审查技术与认证中心颁发的信息系统安全运维服务资质；</w:t>
            </w:r>
          </w:p>
          <w:p>
            <w:r>
              <w:rPr>
                <w:rFonts w:hint="eastAsia"/>
              </w:rPr>
              <w:t>（2）具有中国网络安全审查技术与认证中心颁发的信息系统安全集成服务资质；</w:t>
            </w:r>
          </w:p>
          <w:p>
            <w:pPr>
              <w:rPr>
                <w:rFonts w:ascii="宋体" w:hAnsi="宋体"/>
                <w:color w:val="FF0000"/>
                <w:u w:val="single"/>
              </w:rPr>
            </w:pPr>
            <w:r>
              <w:rPr>
                <w:rFonts w:hint="eastAsia"/>
              </w:rPr>
              <w:t xml:space="preserve">（3）具有中国网络安全审查技术与认证中心颁发的软件安全开发服务资质。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270" w:type="dxa"/>
            <w:vMerge w:val="continue"/>
          </w:tcPr>
          <w:p>
            <w:pPr>
              <w:rPr>
                <w:rFonts w:ascii="宋体" w:hAnsi="宋体"/>
              </w:rPr>
            </w:pPr>
          </w:p>
        </w:tc>
        <w:tc>
          <w:tcPr>
            <w:tcW w:w="7549" w:type="dxa"/>
          </w:tcPr>
          <w:p>
            <w:pPr>
              <w:rPr>
                <w:rFonts w:ascii="宋体" w:hAnsi="宋体"/>
              </w:rPr>
            </w:pPr>
            <w:r>
              <w:rPr>
                <w:rFonts w:hint="eastAsia" w:ascii="宋体" w:hAnsi="宋体"/>
              </w:rPr>
              <w:t>自2019年1月1日起，投标人具有省级及以上医保行业类似信息系统应用软件开发项目案例，每提供一个项目案例得1分，满分 9分，未提供不得分。（提供中标通知书及签订的合同复印件并加盖公章）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restart"/>
            <w:vAlign w:val="center"/>
          </w:tcPr>
          <w:p>
            <w:pPr>
              <w:jc w:val="center"/>
              <w:rPr>
                <w:rFonts w:ascii="宋体" w:hAnsi="宋体"/>
              </w:rPr>
            </w:pPr>
          </w:p>
          <w:p>
            <w:pPr>
              <w:jc w:val="center"/>
              <w:rPr>
                <w:rFonts w:ascii="宋体" w:hAnsi="宋体"/>
              </w:rPr>
            </w:pPr>
            <w:r>
              <w:rPr>
                <w:rFonts w:hint="eastAsia" w:ascii="宋体" w:hAnsi="宋体"/>
              </w:rPr>
              <w:t>技术部分（60分）</w:t>
            </w:r>
          </w:p>
        </w:tc>
        <w:tc>
          <w:tcPr>
            <w:tcW w:w="7549" w:type="dxa"/>
          </w:tcPr>
          <w:p>
            <w:pPr>
              <w:rPr>
                <w:rFonts w:ascii="宋体" w:hAnsi="宋体"/>
              </w:rPr>
            </w:pPr>
            <w:r>
              <w:rPr>
                <w:rFonts w:hint="eastAsia" w:ascii="宋体" w:hAnsi="宋体"/>
                <w:b/>
              </w:rPr>
              <w:t>服务内容响应：</w:t>
            </w:r>
            <w:r>
              <w:rPr>
                <w:rFonts w:hint="eastAsia" w:ascii="宋体" w:hAnsi="宋体"/>
              </w:rPr>
              <w:t>对招标文件提出的功能需求、服务内容等逐条响应，完全响应的得</w:t>
            </w:r>
            <w:r>
              <w:rPr>
                <w:rFonts w:ascii="宋体" w:hAnsi="宋体"/>
              </w:rPr>
              <w:t>1</w:t>
            </w:r>
            <w:r>
              <w:rPr>
                <w:rFonts w:hint="eastAsia" w:ascii="宋体" w:hAnsi="宋体"/>
              </w:rPr>
              <w:t>1分；每有一项负偏离扣1分，扣完为止。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1270" w:type="dxa"/>
            <w:vMerge w:val="continue"/>
          </w:tcPr>
          <w:p>
            <w:pPr>
              <w:rPr>
                <w:rFonts w:ascii="宋体" w:hAnsi="宋体"/>
              </w:rPr>
            </w:pPr>
          </w:p>
        </w:tc>
        <w:tc>
          <w:tcPr>
            <w:tcW w:w="7549" w:type="dxa"/>
          </w:tcPr>
          <w:p>
            <w:pPr>
              <w:rPr>
                <w:rFonts w:ascii="宋体" w:hAnsi="宋体"/>
                <w:b/>
              </w:rPr>
            </w:pPr>
            <w:r>
              <w:rPr>
                <w:rFonts w:hint="eastAsia" w:ascii="宋体" w:hAnsi="宋体"/>
                <w:b/>
              </w:rPr>
              <w:t>项目理解及需求分析：</w:t>
            </w:r>
          </w:p>
          <w:p>
            <w:pPr>
              <w:rPr>
                <w:rFonts w:ascii="宋体" w:hAnsi="宋体"/>
              </w:rPr>
            </w:pPr>
            <w:r>
              <w:rPr>
                <w:rFonts w:hint="eastAsia" w:ascii="宋体" w:hAnsi="宋体"/>
              </w:rPr>
              <w:t>1.对项目所在地医疗保障信息化建设历程、政策调整演变、业务开展情况、运维情况等有深刻的理解和分析，针对本项目重点内容（脱贫攻坚医兜底要求；医税共享；一单式结算；经办模式）提供详细的调研报告，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p>
            <w:pPr>
              <w:rPr>
                <w:rFonts w:ascii="宋体" w:hAnsi="宋体"/>
                <w:color w:val="FF0000"/>
                <w:u w:val="single"/>
              </w:rPr>
            </w:pPr>
            <w:r>
              <w:rPr>
                <w:rFonts w:hint="eastAsia" w:ascii="宋体" w:hAnsi="宋体"/>
              </w:rPr>
              <w:t>2.</w:t>
            </w:r>
            <w:r>
              <w:rPr>
                <w:rFonts w:ascii="宋体" w:hAnsi="宋体"/>
              </w:rPr>
              <w:t>对</w:t>
            </w:r>
            <w:r>
              <w:rPr>
                <w:rFonts w:hint="eastAsia" w:ascii="宋体" w:hAnsi="宋体"/>
              </w:rPr>
              <w:t>本项目医税共享、脱贫攻坚需求</w:t>
            </w:r>
            <w:r>
              <w:rPr>
                <w:rFonts w:ascii="宋体" w:hAnsi="宋体"/>
              </w:rPr>
              <w:t>有充分的理解</w:t>
            </w:r>
            <w:r>
              <w:rPr>
                <w:rFonts w:hint="eastAsia" w:ascii="宋体" w:hAnsi="宋体"/>
              </w:rPr>
              <w:t>和分析</w:t>
            </w:r>
            <w:r>
              <w:rPr>
                <w:rFonts w:ascii="宋体" w:hAnsi="宋体"/>
              </w:rPr>
              <w:t>，并</w:t>
            </w:r>
            <w:r>
              <w:rPr>
                <w:rFonts w:hint="eastAsia" w:ascii="宋体" w:hAnsi="宋体"/>
              </w:rPr>
              <w:t>分析</w:t>
            </w:r>
            <w:r>
              <w:rPr>
                <w:rFonts w:ascii="宋体" w:hAnsi="宋体"/>
              </w:rPr>
              <w:t>存在问题提出对应的解决措施</w:t>
            </w:r>
            <w:r>
              <w:rPr>
                <w:rFonts w:hint="eastAsia" w:ascii="宋体" w:hAnsi="宋体"/>
              </w:rPr>
              <w:t>, 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rPr>
            </w:pPr>
          </w:p>
        </w:tc>
        <w:tc>
          <w:tcPr>
            <w:tcW w:w="7549" w:type="dxa"/>
          </w:tcPr>
          <w:p>
            <w:pPr>
              <w:rPr>
                <w:rFonts w:ascii="宋体" w:hAnsi="宋体"/>
                <w:b/>
              </w:rPr>
            </w:pPr>
            <w:r>
              <w:rPr>
                <w:rFonts w:hint="eastAsia" w:ascii="宋体" w:hAnsi="宋体"/>
                <w:b/>
              </w:rPr>
              <w:t>系统设计：</w:t>
            </w:r>
          </w:p>
          <w:p>
            <w:pPr>
              <w:rPr>
                <w:rFonts w:ascii="宋体" w:hAnsi="宋体"/>
              </w:rPr>
            </w:pPr>
            <w:r>
              <w:rPr>
                <w:rFonts w:hint="eastAsia" w:ascii="宋体" w:hAnsi="宋体"/>
              </w:rPr>
              <w:t>1.</w:t>
            </w:r>
            <w:r>
              <w:rPr>
                <w:rFonts w:hint="eastAsia" w:ascii="宋体" w:hAnsi="宋体"/>
                <w:b/>
              </w:rPr>
              <w:t>总体方案设计：</w:t>
            </w:r>
            <w:r>
              <w:rPr>
                <w:rFonts w:hint="eastAsia" w:ascii="宋体" w:hAnsi="宋体"/>
              </w:rPr>
              <w:t>遵循国家医疗保障信息平台总体设计思路和技术路线，进行自治区核心业务系统总体设计。包括总体架构、技术架构、业务架构、数据架构等设计。好的得3分，较好的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p>
            <w:pPr>
              <w:rPr>
                <w:rFonts w:ascii="宋体" w:hAnsi="宋体"/>
              </w:rPr>
            </w:pPr>
            <w:r>
              <w:rPr>
                <w:rFonts w:hint="eastAsia" w:ascii="宋体" w:hAnsi="宋体"/>
              </w:rPr>
              <w:t>2.</w:t>
            </w:r>
            <w:r>
              <w:rPr>
                <w:rFonts w:hint="eastAsia" w:ascii="宋体" w:hAnsi="宋体"/>
                <w:b/>
              </w:rPr>
              <w:t>应用功能设计:</w:t>
            </w:r>
            <w:r>
              <w:rPr>
                <w:rFonts w:hint="eastAsia" w:ascii="宋体" w:hAnsi="宋体"/>
              </w:rPr>
              <w:t>结合招标文件业务需求对系统业务功能点进行阐述，并提供相关系统功能的流程图和系统截图，好的得3分，较好的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p>
            <w:pPr>
              <w:rPr>
                <w:rFonts w:ascii="宋体" w:hAnsi="宋体"/>
              </w:rPr>
            </w:pPr>
            <w:r>
              <w:rPr>
                <w:rFonts w:hint="eastAsia" w:ascii="宋体" w:hAnsi="宋体"/>
                <w:b/>
              </w:rPr>
              <w:t>3.</w:t>
            </w:r>
            <w:r>
              <w:rPr>
                <w:rFonts w:ascii="宋体" w:hAnsi="宋体"/>
                <w:b/>
              </w:rPr>
              <w:t xml:space="preserve"> Web HIS管理</w:t>
            </w:r>
            <w:r>
              <w:rPr>
                <w:rFonts w:hint="eastAsia" w:ascii="宋体" w:hAnsi="宋体"/>
                <w:b/>
              </w:rPr>
              <w:t>及</w:t>
            </w:r>
            <w:r>
              <w:rPr>
                <w:rFonts w:ascii="宋体" w:hAnsi="宋体"/>
                <w:b/>
              </w:rPr>
              <w:t>Web</w:t>
            </w:r>
            <w:r>
              <w:rPr>
                <w:rFonts w:hint="eastAsia" w:ascii="宋体" w:hAnsi="宋体"/>
                <w:b/>
              </w:rPr>
              <w:t xml:space="preserve">药店管理: </w:t>
            </w:r>
            <w:r>
              <w:rPr>
                <w:rFonts w:hint="eastAsia" w:ascii="宋体" w:hAnsi="宋体"/>
              </w:rPr>
              <w:t>结合招标文件业务需求对</w:t>
            </w:r>
            <w:r>
              <w:rPr>
                <w:rFonts w:ascii="宋体" w:hAnsi="宋体"/>
              </w:rPr>
              <w:t>Web HIS管理</w:t>
            </w:r>
            <w:r>
              <w:rPr>
                <w:rFonts w:hint="eastAsia" w:ascii="宋体" w:hAnsi="宋体"/>
              </w:rPr>
              <w:t>及</w:t>
            </w:r>
            <w:r>
              <w:rPr>
                <w:rFonts w:ascii="宋体" w:hAnsi="宋体"/>
              </w:rPr>
              <w:t>Web</w:t>
            </w:r>
            <w:r>
              <w:rPr>
                <w:rFonts w:hint="eastAsia" w:ascii="宋体" w:hAnsi="宋体"/>
              </w:rPr>
              <w:t>药店管理的功能点进行阐述，要求在满足基本功能的基础上，有创新、有延展。好的得3分，较好的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p>
            <w:pPr>
              <w:rPr>
                <w:rFonts w:ascii="宋体" w:hAnsi="宋体"/>
              </w:rPr>
            </w:pPr>
            <w:r>
              <w:rPr>
                <w:rFonts w:hint="eastAsia" w:ascii="宋体" w:hAnsi="宋体"/>
                <w:b/>
              </w:rPr>
              <w:t>4.数据迁移分析：</w:t>
            </w:r>
            <w:r>
              <w:rPr>
                <w:rFonts w:hint="eastAsia" w:ascii="宋体" w:hAnsi="宋体"/>
              </w:rPr>
              <w:t>分析自治区本级、各地州市及行业单位的核心系统、异地就医、医税共享等各系统业务数据情况，提供数据迁移、治理方案；方案准确、高效、可行。好的得3分，较好的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p>
            <w:pPr>
              <w:rPr>
                <w:rFonts w:ascii="宋体" w:hAnsi="宋体"/>
              </w:rPr>
            </w:pPr>
            <w:r>
              <w:rPr>
                <w:rFonts w:hint="eastAsia" w:ascii="宋体" w:hAnsi="宋体"/>
                <w:b/>
              </w:rPr>
              <w:t>5.系统切换平稳过渡分析：</w:t>
            </w:r>
            <w:r>
              <w:rPr>
                <w:rFonts w:hint="eastAsia" w:ascii="宋体" w:hAnsi="宋体"/>
              </w:rPr>
              <w:t>结合新疆实际情况，制定详细的系统切换方案和应急预案，包括对异地就医系统的切换、核心业务经办系统切换、两定支付系统切换、医税系统切换，保障系统的平稳过渡。切换方案合理、可行，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rPr>
            </w:pPr>
          </w:p>
        </w:tc>
        <w:tc>
          <w:tcPr>
            <w:tcW w:w="7549" w:type="dxa"/>
          </w:tcPr>
          <w:p>
            <w:pPr>
              <w:rPr>
                <w:rFonts w:ascii="宋体" w:hAnsi="宋体"/>
              </w:rPr>
            </w:pPr>
            <w:r>
              <w:rPr>
                <w:rFonts w:hint="eastAsia" w:ascii="宋体" w:hAnsi="宋体"/>
                <w:b/>
              </w:rPr>
              <w:t>项目管理方案:</w:t>
            </w:r>
            <w:r>
              <w:rPr>
                <w:rFonts w:hint="eastAsia" w:ascii="宋体" w:hAnsi="宋体"/>
              </w:rPr>
              <w:t>结合本项目特点制定项目实施计划，提供项目管理方案，提供风险控制方案，并提出本项目实施的主要风险以及降低风险的策略与措施，提供测试与验收方案，对应用系统功能及性能的测试进行描述；好的得3分，较好的</w:t>
            </w:r>
            <w:r>
              <w:rPr>
                <w:rFonts w:ascii="宋体" w:hAnsi="宋体"/>
              </w:rPr>
              <w:t>得</w:t>
            </w:r>
            <w:r>
              <w:rPr>
                <w:rFonts w:hint="eastAsia" w:ascii="宋体" w:hAnsi="宋体"/>
              </w:rPr>
              <w:t>2分</w:t>
            </w:r>
            <w:r>
              <w:rPr>
                <w:rFonts w:ascii="宋体" w:hAnsi="宋体"/>
              </w:rPr>
              <w:t>，</w:t>
            </w:r>
            <w:r>
              <w:rPr>
                <w:rFonts w:hint="eastAsia" w:ascii="宋体" w:hAnsi="宋体"/>
              </w:rPr>
              <w:t>一般的得</w:t>
            </w:r>
            <w:r>
              <w:rPr>
                <w:rFonts w:ascii="宋体" w:hAnsi="宋体"/>
              </w:rPr>
              <w:t>1</w:t>
            </w:r>
            <w:r>
              <w:rPr>
                <w:rFonts w:hint="eastAsia" w:ascii="宋体" w:hAnsi="宋体"/>
              </w:rPr>
              <w:t>分，差的</w:t>
            </w:r>
            <w:r>
              <w:rPr>
                <w:rFonts w:ascii="宋体" w:hAnsi="宋体"/>
              </w:rPr>
              <w:t>或不提供</w:t>
            </w:r>
            <w:r>
              <w:rPr>
                <w:rFonts w:hint="eastAsia" w:ascii="宋体" w:hAnsi="宋体"/>
              </w:rPr>
              <w:t>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Merge w:val="continue"/>
          </w:tcPr>
          <w:p>
            <w:pPr>
              <w:rPr>
                <w:rFonts w:ascii="宋体" w:hAnsi="宋体"/>
              </w:rPr>
            </w:pPr>
          </w:p>
        </w:tc>
        <w:tc>
          <w:tcPr>
            <w:tcW w:w="7549" w:type="dxa"/>
          </w:tcPr>
          <w:p>
            <w:pPr>
              <w:widowControl/>
              <w:jc w:val="left"/>
              <w:rPr>
                <w:rFonts w:ascii="宋体" w:hAnsi="宋体" w:cs="宋体"/>
                <w:b/>
              </w:rPr>
            </w:pPr>
            <w:r>
              <w:rPr>
                <w:rFonts w:hint="eastAsia" w:ascii="宋体" w:hAnsi="宋体" w:cs="宋体"/>
                <w:b/>
              </w:rPr>
              <w:t>项目团队</w:t>
            </w:r>
            <w:r>
              <w:rPr>
                <w:rFonts w:ascii="宋体" w:hAnsi="宋体" w:cs="宋体"/>
                <w:b/>
              </w:rPr>
              <w:t>配置</w:t>
            </w:r>
            <w:r>
              <w:rPr>
                <w:rFonts w:hint="eastAsia" w:ascii="宋体" w:hAnsi="宋体" w:cs="宋体"/>
                <w:b/>
              </w:rPr>
              <w:t>:</w:t>
            </w:r>
          </w:p>
          <w:p>
            <w:pPr>
              <w:rPr>
                <w:rFonts w:ascii="宋体" w:hAnsi="宋体"/>
              </w:rPr>
            </w:pPr>
            <w:r>
              <w:rPr>
                <w:rFonts w:hint="eastAsia" w:ascii="宋体" w:hAnsi="宋体" w:cs="宋体"/>
              </w:rPr>
              <w:t>拟派服务团队中，主要技术成员具有工信部及其下属机构颁发的IT服务项目经理证</w:t>
            </w:r>
            <w:r>
              <w:rPr>
                <w:rFonts w:hint="eastAsia" w:ascii="宋体" w:hAnsi="宋体"/>
              </w:rPr>
              <w:t>书的得2分；具有人社部门颁发信息系统项目管理师证书的得2分；具有人社部门颁发系统分析师证书的得1分，没有不得分，满分5分</w:t>
            </w:r>
            <w:r>
              <w:rPr>
                <w:rFonts w:ascii="宋体" w:hAnsi="宋体"/>
              </w:rPr>
              <w:t>。</w:t>
            </w:r>
          </w:p>
          <w:p>
            <w:pPr>
              <w:rPr>
                <w:rFonts w:ascii="宋体" w:hAnsi="宋体"/>
                <w:b/>
              </w:rPr>
            </w:pPr>
            <w:r>
              <w:rPr>
                <w:rFonts w:hint="eastAsia" w:ascii="宋体" w:hAnsi="宋体"/>
              </w:rPr>
              <w:t>注</w:t>
            </w:r>
            <w:r>
              <w:rPr>
                <w:rFonts w:ascii="宋体" w:hAnsi="宋体"/>
              </w:rPr>
              <w:t>：</w:t>
            </w:r>
            <w:r>
              <w:rPr>
                <w:rFonts w:hint="eastAsia" w:ascii="宋体" w:hAnsi="宋体"/>
              </w:rPr>
              <w:t>团队中</w:t>
            </w:r>
            <w:r>
              <w:rPr>
                <w:rFonts w:ascii="宋体" w:hAnsi="宋体"/>
              </w:rPr>
              <w:t>所有人员提供相关个人简历、相关</w:t>
            </w:r>
            <w:r>
              <w:rPr>
                <w:rFonts w:hint="eastAsia" w:ascii="宋体" w:hAnsi="宋体"/>
              </w:rPr>
              <w:t>资格</w:t>
            </w:r>
            <w:r>
              <w:rPr>
                <w:rFonts w:ascii="宋体" w:hAnsi="宋体"/>
              </w:rPr>
              <w:t>证书复印件、</w:t>
            </w:r>
            <w:r>
              <w:rPr>
                <w:rFonts w:hint="eastAsia" w:ascii="宋体" w:hAnsi="宋体"/>
              </w:rPr>
              <w:t>社保机构出具的2019年6月至今投标人为其缴纳的连续6个月的社保证明，</w:t>
            </w:r>
            <w:r>
              <w:rPr>
                <w:rFonts w:ascii="宋体" w:hAnsi="宋体"/>
              </w:rPr>
              <w:t>同一人员</w:t>
            </w:r>
            <w:r>
              <w:rPr>
                <w:rFonts w:hint="eastAsia" w:ascii="宋体" w:hAnsi="宋体"/>
              </w:rPr>
              <w:t>拥有</w:t>
            </w:r>
            <w:r>
              <w:rPr>
                <w:rFonts w:ascii="宋体" w:hAnsi="宋体"/>
              </w:rPr>
              <w:t>多个证件的</w:t>
            </w:r>
            <w:r>
              <w:rPr>
                <w:rFonts w:hint="eastAsia" w:ascii="宋体" w:hAnsi="宋体"/>
              </w:rPr>
              <w:t>不重复</w:t>
            </w:r>
            <w:r>
              <w:rPr>
                <w:rFonts w:ascii="宋体" w:hAnsi="宋体"/>
              </w:rP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70" w:type="dxa"/>
            <w:vMerge w:val="continue"/>
          </w:tcPr>
          <w:p>
            <w:pPr>
              <w:rPr>
                <w:rFonts w:ascii="宋体" w:hAnsi="宋体"/>
              </w:rPr>
            </w:pPr>
          </w:p>
        </w:tc>
        <w:tc>
          <w:tcPr>
            <w:tcW w:w="7549" w:type="dxa"/>
          </w:tcPr>
          <w:p>
            <w:pPr>
              <w:rPr>
                <w:rFonts w:ascii="宋体" w:hAnsi="宋体"/>
                <w:b/>
              </w:rPr>
            </w:pPr>
            <w:r>
              <w:rPr>
                <w:rFonts w:hint="eastAsia" w:ascii="宋体" w:hAnsi="宋体"/>
                <w:b/>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widowControl/>
              <w:jc w:val="left"/>
              <w:rPr>
                <w:rFonts w:ascii="宋体" w:hAnsi="宋体"/>
                <w:color w:val="FF0000"/>
                <w:u w:val="single"/>
              </w:rPr>
            </w:pPr>
            <w:r>
              <w:rPr>
                <w:rFonts w:hint="eastAsia" w:ascii="宋体" w:hAnsi="宋体"/>
                <w:b/>
              </w:rPr>
              <w:t>1.</w:t>
            </w:r>
            <w:r>
              <w:rPr>
                <w:rFonts w:hint="eastAsia" w:ascii="宋体" w:hAnsi="宋体" w:cs="宋体"/>
              </w:rPr>
              <w:t>对本次招标要求的一单式结算（收费结算、费用登帐、中心审核、结算拨付）流程演示，演示内容齐全且演示界面的友好，操作简便、演示过程衔接流畅等方面好</w:t>
            </w:r>
            <w:r>
              <w:rPr>
                <w:rFonts w:ascii="宋体" w:hAnsi="宋体" w:cs="宋体"/>
              </w:rPr>
              <w:t>的得</w:t>
            </w:r>
            <w:r>
              <w:rPr>
                <w:rFonts w:hint="eastAsia" w:ascii="宋体" w:hAnsi="宋体" w:cs="宋体"/>
              </w:rPr>
              <w:t>6分</w:t>
            </w:r>
            <w:r>
              <w:rPr>
                <w:rFonts w:ascii="宋体" w:hAnsi="宋体" w:cs="宋体"/>
              </w:rPr>
              <w:t>，</w:t>
            </w:r>
            <w:r>
              <w:rPr>
                <w:rFonts w:hint="eastAsia" w:ascii="宋体" w:hAnsi="宋体" w:cs="宋体"/>
              </w:rPr>
              <w:t>一般</w:t>
            </w:r>
            <w:r>
              <w:rPr>
                <w:rFonts w:ascii="宋体" w:hAnsi="宋体" w:cs="宋体"/>
              </w:rPr>
              <w:t>的得</w:t>
            </w:r>
            <w:r>
              <w:rPr>
                <w:rFonts w:hint="eastAsia" w:ascii="宋体" w:hAnsi="宋体" w:cs="宋体"/>
              </w:rPr>
              <w:t>4分</w:t>
            </w:r>
            <w:r>
              <w:rPr>
                <w:rFonts w:ascii="宋体" w:hAnsi="宋体" w:cs="宋体"/>
              </w:rPr>
              <w:t>，差的得</w:t>
            </w:r>
            <w:r>
              <w:rPr>
                <w:rFonts w:hint="eastAsia" w:ascii="宋体" w:hAnsi="宋体" w:cs="宋体"/>
              </w:rPr>
              <w:t>2分</w:t>
            </w:r>
            <w:r>
              <w:rPr>
                <w:rFonts w:ascii="宋体" w:hAnsi="宋体" w:cs="宋体"/>
              </w:rPr>
              <w:t>，不演示的不得</w:t>
            </w:r>
            <w:r>
              <w:rPr>
                <w:rFonts w:hint="eastAsia" w:ascii="宋体" w:hAnsi="宋体" w:cs="宋体"/>
              </w:rPr>
              <w:t>分；</w:t>
            </w:r>
          </w:p>
          <w:p>
            <w:pPr>
              <w:widowControl/>
              <w:jc w:val="left"/>
              <w:rPr>
                <w:rFonts w:ascii="宋体" w:hAnsi="宋体"/>
                <w:color w:val="FF0000"/>
                <w:u w:val="single"/>
              </w:rPr>
            </w:pPr>
            <w:r>
              <w:rPr>
                <w:rFonts w:hint="eastAsia" w:ascii="宋体" w:hAnsi="宋体" w:cs="宋体"/>
              </w:rPr>
              <w:t>2. 对本次招标要求的医保征缴（应缴核算、应缴审核、实缴登记、缴款审核、个账划入）流程演示，演示内容齐全且演示界面的友好，操作简便、演示过程衔接流畅等方面好</w:t>
            </w:r>
            <w:r>
              <w:rPr>
                <w:rFonts w:ascii="宋体" w:hAnsi="宋体" w:cs="宋体"/>
              </w:rPr>
              <w:t>的得</w:t>
            </w:r>
            <w:r>
              <w:rPr>
                <w:rFonts w:hint="eastAsia" w:ascii="宋体" w:hAnsi="宋体" w:cs="宋体"/>
              </w:rPr>
              <w:t>6分</w:t>
            </w:r>
            <w:r>
              <w:rPr>
                <w:rFonts w:ascii="宋体" w:hAnsi="宋体" w:cs="宋体"/>
              </w:rPr>
              <w:t>，</w:t>
            </w:r>
            <w:r>
              <w:rPr>
                <w:rFonts w:hint="eastAsia" w:ascii="宋体" w:hAnsi="宋体" w:cs="宋体"/>
              </w:rPr>
              <w:t>一般</w:t>
            </w:r>
            <w:r>
              <w:rPr>
                <w:rFonts w:ascii="宋体" w:hAnsi="宋体" w:cs="宋体"/>
              </w:rPr>
              <w:t>的得</w:t>
            </w:r>
            <w:r>
              <w:rPr>
                <w:rFonts w:hint="eastAsia" w:ascii="宋体" w:hAnsi="宋体" w:cs="宋体"/>
              </w:rPr>
              <w:t>4分</w:t>
            </w:r>
            <w:r>
              <w:rPr>
                <w:rFonts w:ascii="宋体" w:hAnsi="宋体" w:cs="宋体"/>
              </w:rPr>
              <w:t>，差的得</w:t>
            </w:r>
            <w:r>
              <w:rPr>
                <w:rFonts w:hint="eastAsia" w:ascii="宋体" w:hAnsi="宋体" w:cs="宋体"/>
              </w:rPr>
              <w:t>2分</w:t>
            </w:r>
            <w:r>
              <w:rPr>
                <w:rFonts w:ascii="宋体" w:hAnsi="宋体" w:cs="宋体"/>
              </w:rPr>
              <w:t>，不演示的不得</w:t>
            </w:r>
            <w:r>
              <w:rPr>
                <w:rFonts w:hint="eastAsia" w:ascii="宋体" w:hAnsi="宋体" w:cs="宋体"/>
              </w:rPr>
              <w:t>分；</w:t>
            </w:r>
          </w:p>
          <w:p>
            <w:pPr>
              <w:widowControl/>
              <w:jc w:val="left"/>
              <w:rPr>
                <w:rFonts w:ascii="宋体" w:hAnsi="宋体"/>
                <w:color w:val="FF0000"/>
                <w:u w:val="single"/>
              </w:rPr>
            </w:pPr>
            <w:r>
              <w:rPr>
                <w:rFonts w:hint="eastAsia" w:ascii="宋体" w:hAnsi="宋体" w:cs="宋体"/>
              </w:rPr>
              <w:t>3.结合本次国家医保局中台的规划及设计整体情况，对本次招标要求的业务中台（</w:t>
            </w:r>
            <w:r>
              <w:rPr>
                <w:rFonts w:ascii="宋体" w:hAnsi="宋体" w:cs="宋体"/>
              </w:rPr>
              <w:t>基本信息中心、统一认证中心、电子凭证中心、用户中心、政策中心、风控中心、参保中心、结算中心、征缴中心、工作流引擎中心、报表中心、电子档案中心、消息中心、招采中心、移动支付中心</w:t>
            </w:r>
            <w:r>
              <w:rPr>
                <w:rFonts w:hint="eastAsia" w:ascii="宋体" w:hAnsi="宋体" w:cs="宋体"/>
              </w:rPr>
              <w:t>）进行API展示，演示内容齐全且演示界面的友好，操作简便、演示过程衔接流畅等方面好</w:t>
            </w:r>
            <w:r>
              <w:rPr>
                <w:rFonts w:ascii="宋体" w:hAnsi="宋体" w:cs="宋体"/>
              </w:rPr>
              <w:t>的得</w:t>
            </w:r>
            <w:r>
              <w:rPr>
                <w:rFonts w:hint="eastAsia" w:ascii="宋体" w:hAnsi="宋体" w:cs="宋体"/>
              </w:rPr>
              <w:t>8分</w:t>
            </w:r>
            <w:r>
              <w:rPr>
                <w:rFonts w:ascii="宋体" w:hAnsi="宋体" w:cs="宋体"/>
              </w:rPr>
              <w:t>，</w:t>
            </w:r>
            <w:r>
              <w:rPr>
                <w:rFonts w:hint="eastAsia" w:ascii="宋体" w:hAnsi="宋体" w:cs="宋体"/>
              </w:rPr>
              <w:t>一般</w:t>
            </w:r>
            <w:r>
              <w:rPr>
                <w:rFonts w:ascii="宋体" w:hAnsi="宋体" w:cs="宋体"/>
              </w:rPr>
              <w:t>的得</w:t>
            </w:r>
            <w:r>
              <w:rPr>
                <w:rFonts w:hint="eastAsia" w:ascii="宋体" w:hAnsi="宋体" w:cs="宋体"/>
              </w:rPr>
              <w:t>5分</w:t>
            </w:r>
            <w:r>
              <w:rPr>
                <w:rFonts w:ascii="宋体" w:hAnsi="宋体" w:cs="宋体"/>
              </w:rPr>
              <w:t>，差的得</w:t>
            </w:r>
            <w:r>
              <w:rPr>
                <w:rFonts w:hint="eastAsia" w:ascii="宋体" w:hAnsi="宋体" w:cs="宋体"/>
              </w:rPr>
              <w:t>2分</w:t>
            </w:r>
            <w:r>
              <w:rPr>
                <w:rFonts w:ascii="宋体" w:hAnsi="宋体" w:cs="宋体"/>
              </w:rPr>
              <w:t>，不演示的不得</w:t>
            </w:r>
            <w:r>
              <w:rPr>
                <w:rFonts w:hint="eastAsia" w:ascii="宋体" w:hAnsi="宋体" w:cs="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restart"/>
            <w:vAlign w:val="center"/>
          </w:tcPr>
          <w:p>
            <w:pPr>
              <w:widowControl/>
              <w:jc w:val="center"/>
              <w:rPr>
                <w:rFonts w:ascii="宋体" w:hAnsi="宋体" w:cs="宋体"/>
              </w:rPr>
            </w:pPr>
            <w:r>
              <w:rPr>
                <w:rFonts w:hint="eastAsia" w:ascii="宋体" w:hAnsi="宋体" w:cs="宋体"/>
              </w:rPr>
              <w:t>本地化服务及售后服务</w:t>
            </w:r>
          </w:p>
          <w:p>
            <w:pPr>
              <w:jc w:val="center"/>
              <w:rPr>
                <w:rFonts w:ascii="宋体" w:hAnsi="宋体"/>
              </w:rPr>
            </w:pPr>
            <w:r>
              <w:rPr>
                <w:rFonts w:hint="eastAsia" w:ascii="宋体" w:hAnsi="宋体"/>
              </w:rPr>
              <w:t>10分</w:t>
            </w:r>
          </w:p>
        </w:tc>
        <w:tc>
          <w:tcPr>
            <w:tcW w:w="7549" w:type="dxa"/>
            <w:vAlign w:val="center"/>
          </w:tcPr>
          <w:p>
            <w:pPr>
              <w:rPr>
                <w:rFonts w:ascii="宋体" w:hAnsi="宋体"/>
              </w:rPr>
            </w:pPr>
            <w:r>
              <w:rPr>
                <w:rFonts w:hint="eastAsia" w:ascii="宋体" w:hAnsi="宋体"/>
                <w:b/>
              </w:rPr>
              <w:t>培训方案：</w:t>
            </w:r>
            <w:r>
              <w:rPr>
                <w:rFonts w:hint="eastAsia" w:ascii="宋体" w:hAnsi="宋体"/>
              </w:rPr>
              <w:t>提出完整的项目培训方案，包括培训计划、培训内容。好的得4分，较好的</w:t>
            </w:r>
            <w:r>
              <w:rPr>
                <w:rFonts w:ascii="宋体" w:hAnsi="宋体"/>
              </w:rPr>
              <w:t>得2</w:t>
            </w:r>
            <w:r>
              <w:rPr>
                <w:rFonts w:hint="eastAsia" w:ascii="宋体" w:hAnsi="宋体"/>
              </w:rPr>
              <w:t>分</w:t>
            </w:r>
            <w:r>
              <w:rPr>
                <w:rFonts w:ascii="宋体" w:hAnsi="宋体"/>
              </w:rPr>
              <w:t>，</w:t>
            </w:r>
            <w:r>
              <w:rPr>
                <w:rFonts w:hint="eastAsia" w:ascii="宋体" w:hAnsi="宋体"/>
              </w:rPr>
              <w:t>一般的得1分，差的或</w:t>
            </w:r>
            <w:r>
              <w:rPr>
                <w:rFonts w:ascii="宋体" w:hAnsi="宋体"/>
              </w:rPr>
              <w:t>不提供的</w:t>
            </w:r>
            <w:r>
              <w:rPr>
                <w:rFonts w:hint="eastAsia" w:ascii="宋体" w:hAnsi="宋体"/>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rPr>
            </w:pPr>
          </w:p>
        </w:tc>
        <w:tc>
          <w:tcPr>
            <w:tcW w:w="7549" w:type="dxa"/>
            <w:vAlign w:val="center"/>
          </w:tcPr>
          <w:p>
            <w:pPr>
              <w:rPr>
                <w:rFonts w:ascii="宋体" w:hAnsi="宋体"/>
              </w:rPr>
            </w:pPr>
            <w:r>
              <w:rPr>
                <w:rFonts w:hint="eastAsia" w:ascii="宋体" w:hAnsi="宋体"/>
                <w:b/>
              </w:rPr>
              <w:t>本地化服务能力：</w:t>
            </w:r>
            <w:r>
              <w:rPr>
                <w:rFonts w:hint="eastAsia" w:ascii="宋体" w:hAnsi="宋体"/>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70" w:type="dxa"/>
            <w:vMerge w:val="continue"/>
          </w:tcPr>
          <w:p>
            <w:pPr>
              <w:rPr>
                <w:rFonts w:ascii="宋体" w:hAnsi="宋体"/>
              </w:rPr>
            </w:pPr>
          </w:p>
        </w:tc>
        <w:tc>
          <w:tcPr>
            <w:tcW w:w="7549" w:type="dxa"/>
            <w:vAlign w:val="center"/>
          </w:tcPr>
          <w:p>
            <w:pPr>
              <w:rPr>
                <w:rFonts w:ascii="宋体" w:hAnsi="宋体"/>
              </w:rPr>
            </w:pPr>
            <w:r>
              <w:rPr>
                <w:rFonts w:hint="eastAsia" w:ascii="宋体" w:hAnsi="宋体"/>
                <w:b/>
              </w:rPr>
              <w:t>售后服务方案：</w:t>
            </w:r>
            <w:r>
              <w:rPr>
                <w:rFonts w:hint="eastAsia" w:ascii="宋体" w:hAnsi="宋体"/>
              </w:rPr>
              <w:t>投标人应针对本项目提供相应的售后服务方案。好的得</w:t>
            </w:r>
            <w:r>
              <w:rPr>
                <w:rFonts w:ascii="宋体" w:hAnsi="宋体"/>
              </w:rPr>
              <w:t>4</w:t>
            </w:r>
            <w:r>
              <w:rPr>
                <w:rFonts w:hint="eastAsia" w:ascii="宋体" w:hAnsi="宋体"/>
              </w:rPr>
              <w:t>分，较好的</w:t>
            </w:r>
            <w:r>
              <w:rPr>
                <w:rFonts w:ascii="宋体" w:hAnsi="宋体"/>
              </w:rPr>
              <w:t>得2</w:t>
            </w:r>
            <w:r>
              <w:rPr>
                <w:rFonts w:hint="eastAsia" w:ascii="宋体" w:hAnsi="宋体"/>
              </w:rPr>
              <w:t>分</w:t>
            </w:r>
            <w:r>
              <w:rPr>
                <w:rFonts w:ascii="宋体" w:hAnsi="宋体"/>
              </w:rPr>
              <w:t>，</w:t>
            </w:r>
            <w:r>
              <w:rPr>
                <w:rFonts w:hint="eastAsia" w:ascii="宋体" w:hAnsi="宋体"/>
              </w:rPr>
              <w:t>一般的得1分，</w:t>
            </w:r>
            <w:r>
              <w:rPr>
                <w:rFonts w:ascii="宋体" w:hAnsi="宋体"/>
              </w:rPr>
              <w:t>差的</w:t>
            </w:r>
            <w:r>
              <w:rPr>
                <w:rFonts w:hint="eastAsia" w:ascii="宋体" w:hAnsi="宋体"/>
              </w:rPr>
              <w:t>或</w:t>
            </w:r>
            <w:r>
              <w:rPr>
                <w:rFonts w:ascii="宋体" w:hAnsi="宋体"/>
              </w:rPr>
              <w:t>不提供的</w:t>
            </w:r>
            <w:r>
              <w:rPr>
                <w:rFonts w:hint="eastAsia" w:ascii="宋体" w:hAnsi="宋体"/>
              </w:rPr>
              <w:t xml:space="preserve">得 </w:t>
            </w:r>
            <w:r>
              <w:rPr>
                <w:rFonts w:ascii="宋体" w:hAnsi="宋体"/>
              </w:rPr>
              <w:t>0</w:t>
            </w:r>
            <w:r>
              <w:rPr>
                <w:rFonts w:hint="eastAsia" w:ascii="宋体" w:hAnsi="宋体"/>
              </w:rPr>
              <w:t xml:space="preserve"> 分。</w:t>
            </w:r>
          </w:p>
        </w:tc>
      </w:tr>
    </w:tbl>
    <w:p/>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Pr>
        <w:sectPr>
          <w:headerReference r:id="rId4" w:type="first"/>
          <w:footerReference r:id="rId6" w:type="first"/>
          <w:headerReference r:id="rId3" w:type="default"/>
          <w:footerReference r:id="rId5" w:type="default"/>
          <w:pgSz w:w="11906" w:h="16838"/>
          <w:pgMar w:top="1418" w:right="1588" w:bottom="1418" w:left="1365" w:header="851" w:footer="907" w:gutter="0"/>
          <w:pgNumType w:start="0"/>
          <w:cols w:space="720" w:num="1"/>
          <w:titlePg/>
          <w:docGrid w:type="lines" w:linePitch="290" w:charSpace="0"/>
        </w:sectPr>
      </w:pPr>
    </w:p>
    <w:p>
      <w:pPr>
        <w:pStyle w:val="3"/>
      </w:pPr>
      <w:bookmarkStart w:id="193" w:name="_Toc534816640"/>
      <w:bookmarkStart w:id="194" w:name="_Toc494375082"/>
      <w:bookmarkStart w:id="195" w:name="_Toc534725611"/>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955039"/>
      <w:bookmarkEnd w:id="196"/>
      <w:bookmarkStart w:id="197" w:name="_Hlt26671244"/>
      <w:bookmarkEnd w:id="197"/>
      <w:bookmarkStart w:id="198" w:name="_Toc26554094"/>
      <w:bookmarkStart w:id="199" w:name="_Toc120614282"/>
      <w:bookmarkStart w:id="200" w:name="_Toc49090576"/>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r>
        <w:rPr>
          <w:rFonts w:ascii="宋体" w:hAnsi="宋体"/>
          <w:sz w:val="24"/>
        </w:rPr>
        <w:br w:type="page"/>
      </w:r>
    </w:p>
    <w:p>
      <w:pPr>
        <w:jc w:val="center"/>
        <w:rPr>
          <w:rFonts w:ascii="宋体" w:hAnsi="宋体"/>
          <w:b/>
          <w:sz w:val="30"/>
          <w:szCs w:val="30"/>
        </w:rPr>
      </w:pPr>
      <w:r>
        <w:rPr>
          <w:rFonts w:hint="eastAsia" w:ascii="宋体" w:hAnsi="宋体"/>
          <w:b/>
          <w:sz w:val="30"/>
          <w:szCs w:val="30"/>
        </w:rPr>
        <w:t>评分索引表</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5"/>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25"/>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25"/>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25"/>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25"/>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5"/>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25"/>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25"/>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25"/>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25"/>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25"/>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816641"/>
      <w:bookmarkStart w:id="202" w:name="_Toc534725612"/>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bookmarkEnd w:id="198"/>
      <w:bookmarkEnd w:id="199"/>
      <w:bookmarkEnd w:id="200"/>
    </w:tbl>
    <w:p>
      <w:pPr>
        <w:snapToGrid w:val="0"/>
        <w:spacing w:before="50" w:after="50"/>
        <w:rPr>
          <w:rFonts w:ascii="黑体" w:eastAsia="黑体"/>
          <w:sz w:val="44"/>
        </w:rPr>
        <w:sectPr>
          <w:footerReference r:id="rId7" w:type="first"/>
          <w:pgSz w:w="11906" w:h="16838"/>
          <w:pgMar w:top="1418" w:right="1588" w:bottom="1418" w:left="1365" w:header="851" w:footer="907" w:gutter="0"/>
          <w:cols w:space="720" w:num="1"/>
          <w:titlePg/>
          <w:docGrid w:type="lines" w:linePitch="290" w:charSpace="0"/>
        </w:sectPr>
      </w:pPr>
    </w:p>
    <w:p>
      <w:pPr>
        <w:pStyle w:val="4"/>
        <w:rPr>
          <w:rFonts w:ascii="黑体" w:eastAsia="黑体"/>
        </w:rPr>
      </w:pPr>
      <w:bookmarkStart w:id="203" w:name="_Toc534816642"/>
      <w:bookmarkStart w:id="204" w:name="_Toc534725613"/>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7"/>
        <w:rPr>
          <w:rFonts w:ascii="宋体" w:hAnsi="宋体"/>
          <w:sz w:val="24"/>
          <w:szCs w:val="24"/>
        </w:rPr>
      </w:pPr>
      <w:bookmarkStart w:id="205" w:name="_Toc120614284"/>
      <w:r>
        <w:rPr>
          <w:rFonts w:hint="eastAsia" w:ascii="宋体" w:hAnsi="宋体"/>
          <w:sz w:val="24"/>
          <w:szCs w:val="24"/>
        </w:rPr>
        <w:t>格式1 《企业声明函》</w:t>
      </w:r>
    </w:p>
    <w:p>
      <w:pPr>
        <w:pStyle w:val="7"/>
      </w:pPr>
      <w:r>
        <w:rPr>
          <w:rFonts w:hint="eastAsia" w:ascii="宋体" w:hAnsi="宋体"/>
          <w:sz w:val="24"/>
          <w:szCs w:val="24"/>
        </w:rPr>
        <w:t>格式2《残疾人福利性单位声明函》</w:t>
      </w:r>
    </w:p>
    <w:p>
      <w:pPr>
        <w:pStyle w:val="7"/>
        <w:ind w:firstLine="0"/>
        <w:jc w:val="center"/>
        <w:rPr>
          <w:rFonts w:ascii="黑体" w:hAnsi="宋体" w:eastAsia="黑体"/>
          <w:b/>
          <w:bCs/>
          <w:sz w:val="30"/>
          <w:szCs w:val="30"/>
        </w:rPr>
      </w:pPr>
      <w:r>
        <w:br w:type="page"/>
      </w:r>
      <w:bookmarkStart w:id="206" w:name="_Toc534725614"/>
      <w:bookmarkStart w:id="207" w:name="_Toc534816643"/>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21"/>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816644"/>
      <w:bookmarkStart w:id="209"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21"/>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725616"/>
      <w:bookmarkStart w:id="211" w:name="_Toc534816645"/>
      <w:r>
        <w:rPr>
          <w:rFonts w:hint="eastAsia" w:ascii="黑体" w:hAnsi="宋体" w:eastAsia="黑体"/>
          <w:b/>
          <w:bCs/>
          <w:sz w:val="30"/>
          <w:szCs w:val="30"/>
        </w:rPr>
        <w:t>法人授权书</w:t>
      </w:r>
      <w:bookmarkEnd w:id="210"/>
      <w:bookmarkEnd w:id="211"/>
    </w:p>
    <w:p>
      <w:pPr>
        <w:pStyle w:val="26"/>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6"/>
        <w:spacing w:beforeLines="50" w:afterLines="50" w:line="300" w:lineRule="auto"/>
        <w:ind w:firstLine="480"/>
        <w:rPr>
          <w:sz w:val="24"/>
          <w:szCs w:val="24"/>
        </w:rPr>
      </w:pPr>
      <w:r>
        <w:rPr>
          <w:rFonts w:hint="eastAsia"/>
          <w:sz w:val="24"/>
          <w:szCs w:val="24"/>
        </w:rPr>
        <w:t>本授权书于______年____月____日起生效，特此声明。</w:t>
      </w:r>
    </w:p>
    <w:p>
      <w:pPr>
        <w:pStyle w:val="26"/>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6"/>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6"/>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6"/>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6"/>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6"/>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6"/>
        <w:spacing w:beforeLines="50" w:afterLines="50" w:line="300" w:lineRule="auto"/>
        <w:ind w:firstLine="480"/>
        <w:rPr>
          <w:sz w:val="24"/>
          <w:szCs w:val="24"/>
          <w:u w:val="single"/>
        </w:rPr>
      </w:pPr>
      <w:r>
        <w:rPr>
          <w:rFonts w:hint="eastAsia"/>
          <w:sz w:val="24"/>
          <w:szCs w:val="24"/>
        </w:rPr>
        <w:t xml:space="preserve">      日期：</w:t>
      </w:r>
      <w:bookmarkStart w:id="212" w:name="_Hlt26671380"/>
      <w:bookmarkEnd w:id="212"/>
      <w:bookmarkStart w:id="213" w:name="_格式3__银行出具的资信证明"/>
      <w:bookmarkEnd w:id="213"/>
      <w:bookmarkStart w:id="214" w:name="_Hlt26955070"/>
      <w:bookmarkEnd w:id="214"/>
      <w:r>
        <w:rPr>
          <w:rFonts w:hint="eastAsia"/>
          <w:sz w:val="24"/>
          <w:szCs w:val="24"/>
          <w:u w:val="single"/>
        </w:rPr>
        <w:t xml:space="preserve">                                         </w:t>
      </w:r>
    </w:p>
    <w:p>
      <w:pPr>
        <w:pStyle w:val="26"/>
        <w:spacing w:beforeLines="50" w:afterLines="50" w:line="300" w:lineRule="auto"/>
        <w:ind w:firstLine="480"/>
        <w:rPr>
          <w:sz w:val="24"/>
          <w:szCs w:val="24"/>
          <w:u w:val="single"/>
        </w:rPr>
      </w:pPr>
    </w:p>
    <w:p>
      <w:pPr>
        <w:pStyle w:val="26"/>
        <w:spacing w:beforeLines="50" w:afterLines="50" w:line="300" w:lineRule="auto"/>
        <w:ind w:firstLine="480"/>
        <w:rPr>
          <w:sz w:val="24"/>
          <w:szCs w:val="24"/>
          <w:u w:val="single"/>
        </w:rPr>
      </w:pPr>
    </w:p>
    <w:tbl>
      <w:tblPr>
        <w:tblStyle w:val="1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6"/>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725617"/>
      <w:bookmarkStart w:id="216" w:name="_Toc534816646"/>
      <w:r>
        <w:rPr>
          <w:rFonts w:hint="eastAsia" w:ascii="宋体" w:hAnsi="宋体" w:eastAsia="宋体" w:cs="Times New Roman"/>
          <w:bCs w:val="0"/>
          <w:sz w:val="32"/>
          <w:szCs w:val="32"/>
        </w:rPr>
        <w:t>投标函格式</w:t>
      </w:r>
      <w:bookmarkEnd w:id="215"/>
      <w:bookmarkEnd w:id="216"/>
    </w:p>
    <w:p>
      <w:pPr>
        <w:pStyle w:val="21"/>
        <w:spacing w:beforeLines="50" w:afterLines="50" w:line="300" w:lineRule="auto"/>
        <w:ind w:firstLine="0"/>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21"/>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21"/>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21"/>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21"/>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21"/>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21"/>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21"/>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21"/>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21"/>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21"/>
        <w:spacing w:beforeLines="50" w:afterLines="50" w:line="300" w:lineRule="auto"/>
        <w:ind w:left="425" w:firstLine="0"/>
        <w:rPr>
          <w:rFonts w:ascii="宋体" w:hAnsi="宋体"/>
          <w:kern w:val="2"/>
          <w:szCs w:val="21"/>
        </w:rPr>
      </w:pPr>
      <w:r>
        <w:rPr>
          <w:rFonts w:hint="eastAsia" w:ascii="宋体" w:hAnsi="宋体"/>
          <w:kern w:val="2"/>
          <w:szCs w:val="21"/>
        </w:rPr>
        <w:t>8.与本投标有关的正式通讯地址为：</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21"/>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725618"/>
      <w:bookmarkStart w:id="218" w:name="_Toc534816647"/>
      <w:r>
        <w:rPr>
          <w:rFonts w:hint="eastAsia"/>
        </w:rPr>
        <w:t>三、分项报价表</w:t>
      </w:r>
      <w:bookmarkEnd w:id="217"/>
      <w:bookmarkEnd w:id="218"/>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725620"/>
      <w:bookmarkStart w:id="223" w:name="_Toc534816649"/>
      <w:r>
        <w:rPr>
          <w:rFonts w:hint="eastAsia"/>
        </w:rPr>
        <w:t>五、商务条款响应及偏离表</w:t>
      </w:r>
      <w:bookmarkEnd w:id="222"/>
      <w:bookmarkEnd w:id="223"/>
    </w:p>
    <w:p>
      <w:pPr>
        <w:jc w:val="center"/>
        <w:rPr>
          <w:rFonts w:ascii="宋体" w:hAnsi="宋体"/>
          <w:sz w:val="24"/>
          <w:szCs w:val="24"/>
        </w:rPr>
      </w:pP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955056"/>
      <w:bookmarkEnd w:id="224"/>
      <w:bookmarkStart w:id="225" w:name="_Hlt26782999"/>
      <w:bookmarkEnd w:id="225"/>
      <w:bookmarkStart w:id="226" w:name="_Hlt26671372"/>
      <w:bookmarkEnd w:id="226"/>
      <w:bookmarkStart w:id="227" w:name="_Hlt26609391"/>
      <w:bookmarkEnd w:id="227"/>
      <w:bookmarkStart w:id="228" w:name="_Hlt26955064"/>
      <w:bookmarkEnd w:id="228"/>
      <w:bookmarkStart w:id="229" w:name="_Hlt24879081"/>
      <w:bookmarkEnd w:id="229"/>
      <w:bookmarkStart w:id="230" w:name="_Hlt26671343"/>
      <w:bookmarkEnd w:id="230"/>
      <w:bookmarkStart w:id="231" w:name="_Hlt26580838"/>
      <w:bookmarkEnd w:id="231"/>
    </w:p>
    <w:p>
      <w:pPr>
        <w:pStyle w:val="7"/>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180"/>
    <w:bookmarkEnd w:id="181"/>
    <w:bookmarkEnd w:id="232"/>
    <w:p>
      <w:pPr>
        <w:pStyle w:val="4"/>
        <w:jc w:val="center"/>
        <w:rPr>
          <w:rFonts w:eastAsia="仿宋_GB2312"/>
          <w:sz w:val="24"/>
          <w:szCs w:val="20"/>
        </w:rPr>
      </w:pPr>
      <w:bookmarkStart w:id="233" w:name="_格式2__法定代表人授权书"/>
      <w:bookmarkEnd w:id="233"/>
      <w:bookmarkStart w:id="234" w:name="_Toc460901585"/>
      <w:bookmarkStart w:id="235" w:name="_Toc49090577"/>
      <w:bookmarkStart w:id="236" w:name="_Toc22356580"/>
      <w:bookmarkStart w:id="237" w:name="_Toc513029276"/>
      <w:bookmarkStart w:id="238" w:name="_Toc26554095"/>
      <w:bookmarkStart w:id="239" w:name="_Toc23828478"/>
      <w:bookmarkStart w:id="240" w:name="_Toc120614283"/>
      <w:bookmarkStart w:id="241" w:name="_Toc534725621"/>
      <w:bookmarkStart w:id="242" w:name="_Toc534816650"/>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10"/>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10"/>
              <w:adjustRightInd w:val="0"/>
              <w:snapToGrid w:val="0"/>
              <w:spacing w:line="300" w:lineRule="auto"/>
              <w:rPr>
                <w:rFonts w:ascii="宋体" w:hAnsi="宋体" w:eastAsia="宋体" w:cs="宋体"/>
                <w:sz w:val="24"/>
                <w:szCs w:val="24"/>
              </w:rPr>
            </w:pPr>
          </w:p>
        </w:tc>
        <w:tc>
          <w:tcPr>
            <w:tcW w:w="6405" w:type="dxa"/>
            <w:vAlign w:val="center"/>
          </w:tcPr>
          <w:p>
            <w:pPr>
              <w:pStyle w:val="10"/>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21"/>
              <w:spacing w:before="0" w:after="0" w:line="500" w:lineRule="exact"/>
              <w:ind w:firstLine="0"/>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816651"/>
      <w:bookmarkStart w:id="244" w:name="_Toc534725622"/>
      <w:r>
        <w:rPr>
          <w:rFonts w:hint="eastAsia"/>
        </w:rPr>
        <w:t>七、技术方案</w:t>
      </w:r>
      <w:bookmarkEnd w:id="243"/>
      <w:bookmarkEnd w:id="244"/>
    </w:p>
    <w:p>
      <w:pPr>
        <w:pStyle w:val="7"/>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816652"/>
      <w:bookmarkStart w:id="246" w:name="_Toc534725623"/>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90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91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9" w:lineRule="auto"/>
      <w:ind w:left="-1419" w:right="103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259" w:lineRule="auto"/>
      <w:ind w:right="103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4A4BE3"/>
    <w:multiLevelType w:val="multilevel"/>
    <w:tmpl w:val="214A4BE3"/>
    <w:lvl w:ilvl="0" w:tentative="0">
      <w:start w:val="8"/>
      <w:numFmt w:val="japaneseCounting"/>
      <w:lvlText w:val="（%1）"/>
      <w:lvlJc w:val="left"/>
      <w:pPr>
        <w:ind w:left="1560" w:hanging="10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59012445"/>
    <w:rsid w:val="000320AA"/>
    <w:rsid w:val="00046A95"/>
    <w:rsid w:val="00053FB5"/>
    <w:rsid w:val="0006526F"/>
    <w:rsid w:val="00093AE8"/>
    <w:rsid w:val="000A1D9E"/>
    <w:rsid w:val="000C6F37"/>
    <w:rsid w:val="00110654"/>
    <w:rsid w:val="0011704A"/>
    <w:rsid w:val="00121088"/>
    <w:rsid w:val="00121CFC"/>
    <w:rsid w:val="0014558E"/>
    <w:rsid w:val="00180D05"/>
    <w:rsid w:val="001977F9"/>
    <w:rsid w:val="001C1837"/>
    <w:rsid w:val="001C1F36"/>
    <w:rsid w:val="001D61E2"/>
    <w:rsid w:val="001F31A6"/>
    <w:rsid w:val="001F50AE"/>
    <w:rsid w:val="002049E7"/>
    <w:rsid w:val="00245E6F"/>
    <w:rsid w:val="0029201F"/>
    <w:rsid w:val="0029797C"/>
    <w:rsid w:val="002D5DD3"/>
    <w:rsid w:val="002E5D68"/>
    <w:rsid w:val="002E7474"/>
    <w:rsid w:val="00316C8C"/>
    <w:rsid w:val="00327945"/>
    <w:rsid w:val="003407AD"/>
    <w:rsid w:val="00341058"/>
    <w:rsid w:val="00343366"/>
    <w:rsid w:val="00346B3F"/>
    <w:rsid w:val="003474DC"/>
    <w:rsid w:val="003A5437"/>
    <w:rsid w:val="003C52E4"/>
    <w:rsid w:val="003D3647"/>
    <w:rsid w:val="003E578E"/>
    <w:rsid w:val="004072F7"/>
    <w:rsid w:val="004278EC"/>
    <w:rsid w:val="004330EA"/>
    <w:rsid w:val="0046176D"/>
    <w:rsid w:val="0046248D"/>
    <w:rsid w:val="004B4A0E"/>
    <w:rsid w:val="005051C1"/>
    <w:rsid w:val="005158AD"/>
    <w:rsid w:val="00517C04"/>
    <w:rsid w:val="00545EA0"/>
    <w:rsid w:val="005720C1"/>
    <w:rsid w:val="005921DD"/>
    <w:rsid w:val="005A167E"/>
    <w:rsid w:val="005E50E3"/>
    <w:rsid w:val="005F5DEE"/>
    <w:rsid w:val="005F62BB"/>
    <w:rsid w:val="006079C7"/>
    <w:rsid w:val="00622AB9"/>
    <w:rsid w:val="0066306B"/>
    <w:rsid w:val="0066330F"/>
    <w:rsid w:val="00663577"/>
    <w:rsid w:val="00673909"/>
    <w:rsid w:val="006B1BB6"/>
    <w:rsid w:val="006D1D5F"/>
    <w:rsid w:val="006E3DBF"/>
    <w:rsid w:val="006F6331"/>
    <w:rsid w:val="00707B7B"/>
    <w:rsid w:val="007255EC"/>
    <w:rsid w:val="00752226"/>
    <w:rsid w:val="00762561"/>
    <w:rsid w:val="00781964"/>
    <w:rsid w:val="00790354"/>
    <w:rsid w:val="007D7E82"/>
    <w:rsid w:val="007E0C8C"/>
    <w:rsid w:val="007E6A26"/>
    <w:rsid w:val="007F419B"/>
    <w:rsid w:val="008A2AED"/>
    <w:rsid w:val="008D566F"/>
    <w:rsid w:val="008F4DDD"/>
    <w:rsid w:val="00907AE0"/>
    <w:rsid w:val="00943122"/>
    <w:rsid w:val="00956A3F"/>
    <w:rsid w:val="00992E51"/>
    <w:rsid w:val="009F328D"/>
    <w:rsid w:val="00A12119"/>
    <w:rsid w:val="00AA3165"/>
    <w:rsid w:val="00AA754F"/>
    <w:rsid w:val="00B03502"/>
    <w:rsid w:val="00B061EE"/>
    <w:rsid w:val="00B6633A"/>
    <w:rsid w:val="00B71F14"/>
    <w:rsid w:val="00B951CD"/>
    <w:rsid w:val="00BE64F0"/>
    <w:rsid w:val="00BF7756"/>
    <w:rsid w:val="00C05206"/>
    <w:rsid w:val="00C0523B"/>
    <w:rsid w:val="00C149FB"/>
    <w:rsid w:val="00C168AC"/>
    <w:rsid w:val="00C25CD3"/>
    <w:rsid w:val="00C943DD"/>
    <w:rsid w:val="00CB5DC2"/>
    <w:rsid w:val="00CC7D61"/>
    <w:rsid w:val="00D121FC"/>
    <w:rsid w:val="00D17274"/>
    <w:rsid w:val="00D4243C"/>
    <w:rsid w:val="00D57A53"/>
    <w:rsid w:val="00DF2E4A"/>
    <w:rsid w:val="00E1667A"/>
    <w:rsid w:val="00E2116B"/>
    <w:rsid w:val="00ED123C"/>
    <w:rsid w:val="00EE34DC"/>
    <w:rsid w:val="00EF1F70"/>
    <w:rsid w:val="00EF2E7D"/>
    <w:rsid w:val="00F00426"/>
    <w:rsid w:val="00F13C8F"/>
    <w:rsid w:val="00F715C2"/>
    <w:rsid w:val="00F92F75"/>
    <w:rsid w:val="00FB57AD"/>
    <w:rsid w:val="00FE36F5"/>
    <w:rsid w:val="00FE4B1F"/>
    <w:rsid w:val="09297030"/>
    <w:rsid w:val="0BF95E8B"/>
    <w:rsid w:val="18915921"/>
    <w:rsid w:val="2D8F5795"/>
    <w:rsid w:val="412E1F6D"/>
    <w:rsid w:val="481D126C"/>
    <w:rsid w:val="4CD74ACD"/>
    <w:rsid w:val="55403DC3"/>
    <w:rsid w:val="58755EAC"/>
    <w:rsid w:val="59012445"/>
    <w:rsid w:val="5F8A7DA2"/>
    <w:rsid w:val="66D6114D"/>
    <w:rsid w:val="6AD95087"/>
    <w:rsid w:val="6B635D7D"/>
    <w:rsid w:val="75683A04"/>
    <w:rsid w:val="75A85ADF"/>
    <w:rsid w:val="79384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nhideWhenUsed="0" w:uiPriority="0" w:semiHidden="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paragraph" w:styleId="6">
    <w:name w:val="heading 7"/>
    <w:basedOn w:val="1"/>
    <w:next w:val="1"/>
    <w:link w:val="32"/>
    <w:semiHidden/>
    <w:unhideWhenUsed/>
    <w:qFormat/>
    <w:uiPriority w:val="0"/>
    <w:pPr>
      <w:keepNext/>
      <w:keepLines/>
      <w:spacing w:before="240" w:after="64" w:line="320" w:lineRule="auto"/>
      <w:outlineLvl w:val="6"/>
    </w:pPr>
    <w:rPr>
      <w:b/>
      <w:bCs/>
      <w:sz w:val="24"/>
      <w:szCs w:val="24"/>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28"/>
    <w:qFormat/>
    <w:uiPriority w:val="0"/>
    <w:pPr>
      <w:jc w:val="left"/>
    </w:pPr>
  </w:style>
  <w:style w:type="paragraph" w:styleId="10">
    <w:name w:val="Body Text"/>
    <w:basedOn w:val="1"/>
    <w:qFormat/>
    <w:uiPriority w:val="0"/>
    <w:rPr>
      <w:rFonts w:ascii="楷体_GB2312" w:hAnsi="Arial" w:eastAsia="楷体_GB2312"/>
      <w:sz w:val="28"/>
      <w:szCs w:val="28"/>
    </w:rPr>
  </w:style>
  <w:style w:type="paragraph" w:styleId="11">
    <w:name w:val="Plain Text"/>
    <w:basedOn w:val="1"/>
    <w:qFormat/>
    <w:uiPriority w:val="0"/>
    <w:rPr>
      <w:rFonts w:ascii="宋体" w:hAnsi="Courier New" w:cs="Courier New"/>
    </w:rPr>
  </w:style>
  <w:style w:type="paragraph" w:styleId="12">
    <w:name w:val="Balloon Text"/>
    <w:basedOn w:val="1"/>
    <w:link w:val="30"/>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2"/>
    <w:basedOn w:val="1"/>
    <w:next w:val="1"/>
    <w:qFormat/>
    <w:uiPriority w:val="39"/>
    <w:pPr>
      <w:ind w:left="210"/>
      <w:jc w:val="left"/>
    </w:pPr>
    <w:rPr>
      <w:smallCaps/>
      <w:szCs w:val="24"/>
    </w:rPr>
  </w:style>
  <w:style w:type="paragraph" w:styleId="16">
    <w:name w:val="annotation subject"/>
    <w:basedOn w:val="9"/>
    <w:next w:val="9"/>
    <w:link w:val="29"/>
    <w:qFormat/>
    <w:uiPriority w:val="0"/>
    <w:rPr>
      <w:b/>
      <w:bCs/>
    </w:rPr>
  </w:style>
  <w:style w:type="character" w:styleId="19">
    <w:name w:val="Hyperlink"/>
    <w:qFormat/>
    <w:uiPriority w:val="99"/>
    <w:rPr>
      <w:color w:val="0000FF"/>
      <w:u w:val="single"/>
    </w:rPr>
  </w:style>
  <w:style w:type="character" w:styleId="20">
    <w:name w:val="annotation reference"/>
    <w:basedOn w:val="18"/>
    <w:qFormat/>
    <w:uiPriority w:val="0"/>
    <w:rPr>
      <w:sz w:val="21"/>
      <w:szCs w:val="21"/>
    </w:rPr>
  </w:style>
  <w:style w:type="paragraph" w:customStyle="1" w:styleId="21">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22">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23">
    <w:name w:val="正文首行缩进（qhb）"/>
    <w:basedOn w:val="1"/>
    <w:qFormat/>
    <w:uiPriority w:val="0"/>
    <w:pPr>
      <w:widowControl/>
      <w:spacing w:after="50" w:line="360" w:lineRule="auto"/>
      <w:ind w:firstLine="200" w:firstLineChars="200"/>
      <w:jc w:val="left"/>
    </w:pPr>
    <w:rPr>
      <w:rFonts w:ascii="Arial" w:hAnsi="Arial"/>
      <w:kern w:val="0"/>
      <w:sz w:val="24"/>
    </w:rPr>
  </w:style>
  <w:style w:type="table" w:customStyle="1" w:styleId="24">
    <w:name w:val="TableGrid"/>
    <w:qFormat/>
    <w:uiPriority w:val="0"/>
    <w:tblPr>
      <w:tblCellMar>
        <w:top w:w="0" w:type="dxa"/>
        <w:left w:w="0" w:type="dxa"/>
        <w:bottom w:w="0" w:type="dxa"/>
        <w:right w:w="0" w:type="dxa"/>
      </w:tblCellMar>
    </w:tblPr>
  </w:style>
  <w:style w:type="paragraph" w:customStyle="1" w:styleId="25">
    <w:name w:val="列出段落1"/>
    <w:basedOn w:val="1"/>
    <w:qFormat/>
    <w:uiPriority w:val="0"/>
    <w:pPr>
      <w:widowControl/>
      <w:ind w:left="720"/>
      <w:contextualSpacing/>
      <w:jc w:val="left"/>
    </w:pPr>
    <w:rPr>
      <w:kern w:val="0"/>
      <w:sz w:val="24"/>
      <w:szCs w:val="24"/>
      <w:lang w:eastAsia="en-US" w:bidi="en-US"/>
    </w:rPr>
  </w:style>
  <w:style w:type="paragraph" w:customStyle="1" w:styleId="26">
    <w:name w:val="Char"/>
    <w:basedOn w:val="1"/>
    <w:qFormat/>
    <w:uiPriority w:val="0"/>
    <w:pPr>
      <w:tabs>
        <w:tab w:val="left" w:pos="360"/>
      </w:tabs>
      <w:ind w:firstLine="200" w:firstLineChars="200"/>
    </w:pPr>
    <w:rPr>
      <w:sz w:val="28"/>
      <w:szCs w:val="30"/>
    </w:rPr>
  </w:style>
  <w:style w:type="paragraph" w:customStyle="1" w:styleId="27">
    <w:name w:val="样式 正文缩进 + 首行缩进:  2 字符"/>
    <w:basedOn w:val="7"/>
    <w:qFormat/>
    <w:uiPriority w:val="0"/>
    <w:pPr>
      <w:ind w:firstLine="200" w:firstLineChars="200"/>
    </w:pPr>
    <w:rPr>
      <w:kern w:val="0"/>
      <w:lang w:val="zh-CN"/>
    </w:rPr>
  </w:style>
  <w:style w:type="character" w:customStyle="1" w:styleId="28">
    <w:name w:val="批注文字 Char"/>
    <w:basedOn w:val="18"/>
    <w:link w:val="9"/>
    <w:qFormat/>
    <w:uiPriority w:val="0"/>
    <w:rPr>
      <w:rFonts w:ascii="Calibri" w:hAnsi="Calibri" w:eastAsia="宋体" w:cs="Times New Roman"/>
      <w:kern w:val="2"/>
      <w:sz w:val="21"/>
      <w:szCs w:val="21"/>
    </w:rPr>
  </w:style>
  <w:style w:type="character" w:customStyle="1" w:styleId="29">
    <w:name w:val="批注主题 Char"/>
    <w:basedOn w:val="28"/>
    <w:link w:val="16"/>
    <w:qFormat/>
    <w:uiPriority w:val="0"/>
    <w:rPr>
      <w:rFonts w:ascii="Calibri" w:hAnsi="Calibri" w:eastAsia="宋体" w:cs="Times New Roman"/>
      <w:b/>
      <w:bCs/>
      <w:kern w:val="2"/>
      <w:sz w:val="21"/>
      <w:szCs w:val="21"/>
    </w:rPr>
  </w:style>
  <w:style w:type="character" w:customStyle="1" w:styleId="30">
    <w:name w:val="批注框文本 Char"/>
    <w:basedOn w:val="18"/>
    <w:link w:val="12"/>
    <w:qFormat/>
    <w:uiPriority w:val="0"/>
    <w:rPr>
      <w:rFonts w:ascii="Calibri" w:hAnsi="Calibri" w:eastAsia="宋体" w:cs="Times New Roman"/>
      <w:kern w:val="2"/>
      <w:sz w:val="18"/>
      <w:szCs w:val="18"/>
    </w:rPr>
  </w:style>
  <w:style w:type="paragraph" w:styleId="31">
    <w:name w:val="List Paragraph"/>
    <w:basedOn w:val="1"/>
    <w:unhideWhenUsed/>
    <w:qFormat/>
    <w:uiPriority w:val="1"/>
    <w:pPr>
      <w:ind w:firstLine="420" w:firstLineChars="200"/>
    </w:pPr>
  </w:style>
  <w:style w:type="character" w:customStyle="1" w:styleId="32">
    <w:name w:val="标题 7 Char"/>
    <w:basedOn w:val="18"/>
    <w:link w:val="6"/>
    <w:semiHidden/>
    <w:qFormat/>
    <w:uiPriority w:val="0"/>
    <w:rPr>
      <w:rFonts w:ascii="Calibri" w:hAnsi="Calibri" w:eastAsia="宋体" w:cs="Times New Roman"/>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F5A67-922D-494F-B5A7-C5C1D7A511FF}">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55231</Words>
  <Characters>58349</Characters>
  <Lines>454</Lines>
  <Paragraphs>128</Paragraphs>
  <TotalTime>266</TotalTime>
  <ScaleCrop>false</ScaleCrop>
  <LinksUpToDate>false</LinksUpToDate>
  <CharactersWithSpaces>61945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2020-08-05T05:21:00Z</dcterms:created>
  <dc:creator>蓉</dc:creator>
  <cp:lastModifiedBy>Administrator</cp:lastModifiedBy>
  <cp:lastPrinted>2020-08-05T09:49:00Z</cp:lastPrinted>
  <dcterms:modified xsi:type="dcterms:W3CDTF">2025-02-07T14:04:37Z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EEB26AE0C69E4A689CB697BBA88066B6</vt:lpwstr>
  </property>
</Properties>
</file>