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A3E84C">
      <w:pPr>
        <w:snapToGrid w:val="0"/>
        <w:jc w:val="left"/>
        <w:rPr>
          <w:rFonts w:asciiTheme="minorEastAsia" w:hAnsiTheme="minorEastAsia" w:eastAsiaTheme="minorEastAsia" w:cstheme="minorEastAsia"/>
          <w:color w:val="auto"/>
          <w:sz w:val="24"/>
          <w:highlight w:val="none"/>
        </w:rPr>
      </w:pPr>
    </w:p>
    <w:p w14:paraId="467E3B31">
      <w:pPr>
        <w:spacing w:line="540" w:lineRule="exact"/>
        <w:jc w:val="center"/>
        <w:rPr>
          <w:rFonts w:ascii="华文中宋" w:hAnsi="华文中宋" w:eastAsia="华文中宋" w:cs="宋体"/>
          <w:b/>
          <w:color w:val="auto"/>
          <w:kern w:val="0"/>
          <w:sz w:val="52"/>
          <w:szCs w:val="52"/>
          <w:highlight w:val="none"/>
        </w:rPr>
      </w:pPr>
    </w:p>
    <w:p w14:paraId="22308B0C">
      <w:pPr>
        <w:spacing w:line="540" w:lineRule="exact"/>
        <w:rPr>
          <w:rFonts w:ascii="华文中宋" w:hAnsi="华文中宋" w:eastAsia="华文中宋" w:cs="宋体"/>
          <w:b/>
          <w:color w:val="auto"/>
          <w:kern w:val="0"/>
          <w:sz w:val="52"/>
          <w:szCs w:val="52"/>
          <w:highlight w:val="none"/>
        </w:rPr>
      </w:pPr>
    </w:p>
    <w:p w14:paraId="3EF122FA">
      <w:pPr>
        <w:spacing w:line="540" w:lineRule="exact"/>
        <w:jc w:val="center"/>
        <w:rPr>
          <w:rFonts w:ascii="华文中宋" w:hAnsi="华文中宋" w:eastAsia="华文中宋" w:cs="宋体"/>
          <w:b/>
          <w:color w:val="auto"/>
          <w:kern w:val="0"/>
          <w:sz w:val="52"/>
          <w:szCs w:val="52"/>
          <w:highlight w:val="none"/>
        </w:rPr>
      </w:pPr>
    </w:p>
    <w:p w14:paraId="30A39550">
      <w:pPr>
        <w:spacing w:line="560" w:lineRule="exact"/>
        <w:jc w:val="center"/>
        <w:rPr>
          <w:rFonts w:ascii="方正小标宋_GBK" w:hAnsi="方正小标宋_GBK" w:eastAsia="方正小标宋_GBK" w:cs="方正小标宋_GBK"/>
          <w:bCs/>
          <w:color w:val="auto"/>
          <w:kern w:val="0"/>
          <w:sz w:val="48"/>
          <w:szCs w:val="48"/>
          <w:highlight w:val="none"/>
        </w:rPr>
      </w:pPr>
      <w:r>
        <w:rPr>
          <w:rFonts w:hint="eastAsia" w:ascii="方正小标宋_GBK" w:hAnsi="方正小标宋_GBK" w:eastAsia="方正小标宋_GBK" w:cs="方正小标宋_GBK"/>
          <w:bCs/>
          <w:color w:val="auto"/>
          <w:kern w:val="0"/>
          <w:sz w:val="48"/>
          <w:szCs w:val="48"/>
          <w:highlight w:val="none"/>
        </w:rPr>
        <w:t>自治区医疗保障局城乡居民医保自治区财政补助资金项目支出绩效评价报告</w:t>
      </w:r>
    </w:p>
    <w:p w14:paraId="53DFBAB9">
      <w:pPr>
        <w:spacing w:line="540" w:lineRule="exact"/>
        <w:jc w:val="center"/>
        <w:rPr>
          <w:rFonts w:ascii="黑体" w:hAnsi="黑体" w:eastAsia="黑体" w:cs="黑体"/>
          <w:b/>
          <w:color w:val="auto"/>
          <w:kern w:val="0"/>
          <w:sz w:val="52"/>
          <w:szCs w:val="52"/>
          <w:highlight w:val="none"/>
        </w:rPr>
      </w:pPr>
    </w:p>
    <w:p w14:paraId="47CA8D4B">
      <w:pPr>
        <w:spacing w:line="540" w:lineRule="exact"/>
        <w:jc w:val="center"/>
        <w:rPr>
          <w:rFonts w:hAnsi="宋体" w:cs="宋体"/>
          <w:color w:val="auto"/>
          <w:kern w:val="0"/>
          <w:sz w:val="36"/>
          <w:szCs w:val="36"/>
          <w:highlight w:val="none"/>
        </w:rPr>
      </w:pPr>
      <w:r>
        <w:rPr>
          <w:rFonts w:hint="eastAsia" w:hAnsi="宋体" w:cs="宋体"/>
          <w:color w:val="auto"/>
          <w:kern w:val="0"/>
          <w:sz w:val="36"/>
          <w:szCs w:val="36"/>
          <w:highlight w:val="none"/>
        </w:rPr>
        <w:t>（</w:t>
      </w:r>
      <w:r>
        <w:rPr>
          <w:rFonts w:hint="eastAsia" w:hAnsi="宋体" w:cs="宋体"/>
          <w:color w:val="auto"/>
          <w:kern w:val="0"/>
          <w:sz w:val="36"/>
          <w:szCs w:val="36"/>
          <w:highlight w:val="none"/>
          <w:lang w:eastAsia="zh-CN"/>
        </w:rPr>
        <w:t>2025</w:t>
      </w:r>
      <w:r>
        <w:rPr>
          <w:rFonts w:hint="eastAsia" w:hAnsi="宋体" w:cs="宋体"/>
          <w:color w:val="auto"/>
          <w:kern w:val="0"/>
          <w:sz w:val="36"/>
          <w:szCs w:val="36"/>
          <w:highlight w:val="none"/>
        </w:rPr>
        <w:t>年度）</w:t>
      </w:r>
    </w:p>
    <w:p w14:paraId="074B55F7">
      <w:pPr>
        <w:spacing w:line="540" w:lineRule="exact"/>
        <w:jc w:val="center"/>
        <w:rPr>
          <w:rFonts w:hAnsi="宋体" w:cs="宋体"/>
          <w:color w:val="auto"/>
          <w:kern w:val="0"/>
          <w:szCs w:val="30"/>
          <w:highlight w:val="none"/>
        </w:rPr>
      </w:pPr>
    </w:p>
    <w:p w14:paraId="16C102C2">
      <w:pPr>
        <w:spacing w:line="540" w:lineRule="exact"/>
        <w:jc w:val="center"/>
        <w:rPr>
          <w:rFonts w:hAnsi="宋体" w:cs="宋体"/>
          <w:color w:val="auto"/>
          <w:kern w:val="0"/>
          <w:szCs w:val="30"/>
          <w:highlight w:val="none"/>
        </w:rPr>
      </w:pPr>
    </w:p>
    <w:p w14:paraId="114C582D">
      <w:pPr>
        <w:spacing w:line="540" w:lineRule="exact"/>
        <w:jc w:val="center"/>
        <w:rPr>
          <w:rFonts w:ascii="方正小标宋_GBK" w:hAnsi="宋体" w:eastAsia="方正小标宋_GBK" w:cs="宋体"/>
          <w:color w:val="auto"/>
          <w:kern w:val="0"/>
          <w:sz w:val="36"/>
          <w:szCs w:val="36"/>
          <w:highlight w:val="none"/>
        </w:rPr>
      </w:pPr>
    </w:p>
    <w:p w14:paraId="36826BF6">
      <w:pPr>
        <w:spacing w:line="540" w:lineRule="exact"/>
        <w:jc w:val="center"/>
        <w:rPr>
          <w:rFonts w:hAnsi="宋体" w:cs="宋体"/>
          <w:color w:val="auto"/>
          <w:kern w:val="0"/>
          <w:szCs w:val="30"/>
          <w:highlight w:val="none"/>
        </w:rPr>
      </w:pPr>
    </w:p>
    <w:p w14:paraId="2040B455">
      <w:pPr>
        <w:spacing w:line="540" w:lineRule="exact"/>
        <w:jc w:val="center"/>
        <w:rPr>
          <w:rFonts w:hAnsi="宋体" w:cs="宋体"/>
          <w:color w:val="auto"/>
          <w:kern w:val="0"/>
          <w:szCs w:val="30"/>
          <w:highlight w:val="none"/>
        </w:rPr>
      </w:pPr>
    </w:p>
    <w:p w14:paraId="32CCD1B4">
      <w:pPr>
        <w:spacing w:line="540" w:lineRule="exact"/>
        <w:jc w:val="center"/>
        <w:rPr>
          <w:rFonts w:hAnsi="宋体" w:cs="宋体"/>
          <w:color w:val="auto"/>
          <w:kern w:val="0"/>
          <w:szCs w:val="30"/>
          <w:highlight w:val="none"/>
        </w:rPr>
      </w:pPr>
    </w:p>
    <w:p w14:paraId="4127E134">
      <w:pPr>
        <w:spacing w:line="540" w:lineRule="exact"/>
        <w:rPr>
          <w:rFonts w:hAnsi="宋体" w:cs="宋体"/>
          <w:color w:val="auto"/>
          <w:kern w:val="0"/>
          <w:szCs w:val="30"/>
          <w:highlight w:val="none"/>
        </w:rPr>
      </w:pPr>
    </w:p>
    <w:p w14:paraId="1FD68BBA">
      <w:pPr>
        <w:spacing w:line="700" w:lineRule="exact"/>
        <w:jc w:val="left"/>
        <w:rPr>
          <w:rFonts w:hAnsi="宋体" w:cs="宋体"/>
          <w:color w:val="auto"/>
          <w:kern w:val="0"/>
          <w:sz w:val="36"/>
          <w:szCs w:val="36"/>
          <w:highlight w:val="none"/>
        </w:rPr>
      </w:pPr>
    </w:p>
    <w:p w14:paraId="448A2F7F">
      <w:pPr>
        <w:spacing w:line="700" w:lineRule="exact"/>
        <w:jc w:val="left"/>
        <w:rPr>
          <w:rFonts w:hAnsi="宋体" w:cs="宋体"/>
          <w:color w:val="auto"/>
          <w:kern w:val="0"/>
          <w:sz w:val="36"/>
          <w:szCs w:val="36"/>
          <w:highlight w:val="none"/>
        </w:rPr>
      </w:pPr>
    </w:p>
    <w:p w14:paraId="66EF2269">
      <w:pPr>
        <w:spacing w:line="700" w:lineRule="exact"/>
        <w:jc w:val="left"/>
        <w:rPr>
          <w:rFonts w:hAnsi="宋体" w:cs="宋体"/>
          <w:color w:val="auto"/>
          <w:kern w:val="0"/>
          <w:sz w:val="36"/>
          <w:szCs w:val="36"/>
          <w:highlight w:val="none"/>
        </w:rPr>
      </w:pPr>
    </w:p>
    <w:p w14:paraId="6101E105">
      <w:pPr>
        <w:spacing w:line="700" w:lineRule="exact"/>
        <w:jc w:val="left"/>
        <w:rPr>
          <w:rFonts w:hAnsi="宋体" w:cs="宋体"/>
          <w:color w:val="auto"/>
          <w:kern w:val="0"/>
          <w:sz w:val="36"/>
          <w:szCs w:val="36"/>
          <w:highlight w:val="none"/>
        </w:rPr>
      </w:pPr>
    </w:p>
    <w:p w14:paraId="7C44A296">
      <w:pPr>
        <w:spacing w:line="700" w:lineRule="exact"/>
        <w:jc w:val="left"/>
        <w:rPr>
          <w:rFonts w:hAnsi="宋体" w:cs="宋体"/>
          <w:color w:val="auto"/>
          <w:kern w:val="0"/>
          <w:sz w:val="36"/>
          <w:szCs w:val="36"/>
          <w:highlight w:val="none"/>
        </w:rPr>
      </w:pPr>
      <w:r>
        <w:rPr>
          <w:rFonts w:hint="eastAsia" w:hAnsi="宋体" w:cs="宋体"/>
          <w:color w:val="auto"/>
          <w:kern w:val="0"/>
          <w:sz w:val="36"/>
          <w:szCs w:val="36"/>
          <w:highlight w:val="none"/>
        </w:rPr>
        <w:t>部门单位名称（公章）：新疆维吾尔自治区医疗保障局</w:t>
      </w:r>
    </w:p>
    <w:p w14:paraId="001312E8">
      <w:pPr>
        <w:spacing w:line="700" w:lineRule="exact"/>
        <w:jc w:val="left"/>
        <w:rPr>
          <w:rFonts w:hAnsi="宋体" w:cs="宋体"/>
          <w:color w:val="auto"/>
          <w:kern w:val="0"/>
          <w:sz w:val="36"/>
          <w:szCs w:val="36"/>
          <w:highlight w:val="none"/>
        </w:rPr>
      </w:pPr>
      <w:r>
        <w:rPr>
          <w:rFonts w:hint="eastAsia" w:hAnsi="宋体" w:cs="宋体"/>
          <w:color w:val="auto"/>
          <w:kern w:val="0"/>
          <w:sz w:val="36"/>
          <w:szCs w:val="36"/>
          <w:highlight w:val="none"/>
        </w:rPr>
        <w:t>填报时间：202</w:t>
      </w:r>
      <w:r>
        <w:rPr>
          <w:rFonts w:hint="eastAsia" w:hAnsi="宋体" w:cs="宋体"/>
          <w:color w:val="auto"/>
          <w:kern w:val="0"/>
          <w:sz w:val="36"/>
          <w:szCs w:val="36"/>
          <w:highlight w:val="none"/>
          <w:lang w:val="en-US" w:eastAsia="zh-CN"/>
        </w:rPr>
        <w:t>6</w:t>
      </w:r>
      <w:r>
        <w:rPr>
          <w:rFonts w:hint="eastAsia" w:hAnsi="宋体" w:cs="宋体"/>
          <w:color w:val="auto"/>
          <w:kern w:val="0"/>
          <w:sz w:val="36"/>
          <w:szCs w:val="36"/>
          <w:highlight w:val="none"/>
        </w:rPr>
        <w:t>年3月31日</w:t>
      </w:r>
    </w:p>
    <w:p w14:paraId="11DF5DFD">
      <w:pPr>
        <w:rPr>
          <w:rFonts w:hAnsi="宋体" w:cs="宋体"/>
          <w:color w:val="auto"/>
          <w:kern w:val="0"/>
          <w:sz w:val="36"/>
          <w:szCs w:val="36"/>
          <w:highlight w:val="none"/>
        </w:rPr>
      </w:pPr>
      <w:r>
        <w:rPr>
          <w:rFonts w:hAnsi="宋体" w:cs="宋体"/>
          <w:color w:val="auto"/>
          <w:kern w:val="0"/>
          <w:sz w:val="36"/>
          <w:szCs w:val="36"/>
          <w:highlight w:val="none"/>
        </w:rPr>
        <w:br w:type="page"/>
      </w:r>
    </w:p>
    <w:p w14:paraId="4BACBBF2">
      <w:pPr>
        <w:snapToGrid w:val="0"/>
        <w:jc w:val="left"/>
        <w:rPr>
          <w:rFonts w:asciiTheme="minorEastAsia" w:hAnsiTheme="minorEastAsia" w:eastAsiaTheme="minorEastAsia" w:cstheme="minorEastAsia"/>
          <w:color w:val="auto"/>
          <w:sz w:val="24"/>
          <w:highlight w:val="none"/>
        </w:rPr>
      </w:pPr>
    </w:p>
    <w:p w14:paraId="03C5D15A">
      <w:pPr>
        <w:spacing w:line="560" w:lineRule="exact"/>
        <w:jc w:val="center"/>
        <w:rPr>
          <w:rFonts w:ascii="方正小标宋_GBK" w:hAnsi="方正小标宋_GBK" w:eastAsia="方正小标宋_GBK" w:cs="方正小标宋_GBK"/>
          <w:color w:val="auto"/>
          <w:sz w:val="36"/>
          <w:szCs w:val="36"/>
          <w:highlight w:val="none"/>
        </w:rPr>
      </w:pPr>
      <w:r>
        <w:rPr>
          <w:rFonts w:hint="eastAsia" w:ascii="方正小标宋_GBK" w:hAnsi="方正小标宋_GBK" w:eastAsia="方正小标宋_GBK" w:cs="方正小标宋_GBK"/>
          <w:color w:val="auto"/>
          <w:sz w:val="36"/>
          <w:szCs w:val="36"/>
          <w:highlight w:val="none"/>
        </w:rPr>
        <w:t>自治区医疗保障局城乡居民医保自治区财政补助资金</w:t>
      </w:r>
    </w:p>
    <w:p w14:paraId="0F45ECD8">
      <w:pPr>
        <w:spacing w:line="560" w:lineRule="exact"/>
        <w:jc w:val="center"/>
        <w:rPr>
          <w:rFonts w:ascii="方正小标宋_GBK" w:hAnsi="方正小标宋_GBK" w:eastAsia="方正小标宋_GBK" w:cs="方正小标宋_GBK"/>
          <w:color w:val="auto"/>
          <w:sz w:val="36"/>
          <w:szCs w:val="36"/>
          <w:highlight w:val="none"/>
        </w:rPr>
      </w:pPr>
      <w:r>
        <w:rPr>
          <w:rFonts w:hint="eastAsia" w:ascii="方正小标宋_GBK" w:hAnsi="方正小标宋_GBK" w:eastAsia="方正小标宋_GBK" w:cs="方正小标宋_GBK"/>
          <w:color w:val="auto"/>
          <w:sz w:val="36"/>
          <w:szCs w:val="36"/>
          <w:highlight w:val="none"/>
        </w:rPr>
        <w:t>项目支出绩效评价报告</w:t>
      </w:r>
    </w:p>
    <w:p w14:paraId="643998A4">
      <w:pPr>
        <w:pStyle w:val="12"/>
        <w:rPr>
          <w:color w:val="auto"/>
          <w:highlight w:val="none"/>
        </w:rPr>
      </w:pPr>
    </w:p>
    <w:p w14:paraId="4406DC83">
      <w:pPr>
        <w:spacing w:line="56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为贯彻落实《中共中央国务院关于全面实施预算绩效管理的意见》（中发〔2018〕34号）的决策部署和自治区党委、人民政府工作要求，根据财政部《项目支出绩效评价管理办法》（财预〔2020〕10号）、《自治区党委 自治区人民政府关于全面实施预算绩效管理的实施意见》（新党发〔2018〕30号）要求以及自治区财政厅</w:t>
      </w:r>
      <w:r>
        <w:rPr>
          <w:rFonts w:hint="eastAsia" w:ascii="仿宋_GB2312"/>
          <w:color w:val="auto"/>
          <w:sz w:val="32"/>
          <w:szCs w:val="32"/>
          <w:highlight w:val="none"/>
          <w:lang w:eastAsia="zh-CN"/>
        </w:rPr>
        <w:t>2025</w:t>
      </w:r>
      <w:r>
        <w:rPr>
          <w:rFonts w:hint="eastAsia" w:ascii="仿宋_GB2312"/>
          <w:color w:val="auto"/>
          <w:sz w:val="32"/>
          <w:szCs w:val="32"/>
          <w:highlight w:val="none"/>
        </w:rPr>
        <w:t>年绩效评价工作的总体部署，检验财政资金支出预期目标实现程度，考核财政资金支出效率和综合效果，自治区医疗保障局对城乡居民医保自治区财政补助资金实施项目支出绩效评价工作。现将</w:t>
      </w:r>
      <w:r>
        <w:rPr>
          <w:rFonts w:hint="eastAsia" w:ascii="仿宋_GB2312"/>
          <w:color w:val="auto"/>
          <w:sz w:val="32"/>
          <w:szCs w:val="32"/>
          <w:highlight w:val="none"/>
          <w:lang w:eastAsia="zh-CN"/>
        </w:rPr>
        <w:t>2025</w:t>
      </w:r>
      <w:r>
        <w:rPr>
          <w:rFonts w:hint="eastAsia" w:ascii="仿宋_GB2312"/>
          <w:color w:val="auto"/>
          <w:sz w:val="32"/>
          <w:szCs w:val="32"/>
          <w:highlight w:val="none"/>
        </w:rPr>
        <w:t>年度城乡居民医保自治区财政补助资金项目预算绩效情况报告如下：</w:t>
      </w:r>
    </w:p>
    <w:p w14:paraId="6A477424">
      <w:pPr>
        <w:spacing w:line="600" w:lineRule="exact"/>
        <w:ind w:firstLine="640" w:firstLineChars="200"/>
        <w:outlineLvl w:val="0"/>
        <w:rPr>
          <w:rFonts w:ascii="黑体" w:hAnsi="黑体" w:eastAsia="黑体"/>
          <w:color w:val="auto"/>
          <w:sz w:val="32"/>
          <w:szCs w:val="32"/>
          <w:highlight w:val="none"/>
        </w:rPr>
      </w:pPr>
      <w:r>
        <w:rPr>
          <w:rFonts w:hint="eastAsia" w:ascii="黑体" w:hAnsi="黑体" w:eastAsia="黑体"/>
          <w:color w:val="auto"/>
          <w:sz w:val="32"/>
          <w:szCs w:val="32"/>
          <w:highlight w:val="none"/>
        </w:rPr>
        <w:t>一、基本情况</w:t>
      </w:r>
    </w:p>
    <w:p w14:paraId="00B5184F">
      <w:pPr>
        <w:pStyle w:val="8"/>
        <w:spacing w:before="0" w:after="0" w:line="560" w:lineRule="exact"/>
        <w:ind w:firstLine="643" w:firstLineChars="200"/>
        <w:jc w:val="both"/>
        <w:rPr>
          <w:rFonts w:ascii="Times New Roman" w:hAnsi="Times New Roman" w:eastAsia="楷体_GB2312"/>
          <w:color w:val="auto"/>
          <w:highlight w:val="none"/>
        </w:rPr>
      </w:pPr>
      <w:r>
        <w:rPr>
          <w:rFonts w:hint="eastAsia" w:ascii="Times New Roman" w:hAnsi="Times New Roman" w:eastAsia="楷体_GB2312"/>
          <w:color w:val="auto"/>
          <w:highlight w:val="none"/>
        </w:rPr>
        <w:t>（一）项目概况</w:t>
      </w:r>
    </w:p>
    <w:p w14:paraId="5F160021">
      <w:pPr>
        <w:spacing w:line="600" w:lineRule="exact"/>
        <w:ind w:firstLine="643" w:firstLineChars="200"/>
        <w:outlineLvl w:val="2"/>
        <w:rPr>
          <w:rFonts w:ascii="仿宋_GB2312"/>
          <w:b/>
          <w:bCs/>
          <w:color w:val="auto"/>
          <w:sz w:val="32"/>
          <w:szCs w:val="32"/>
          <w:highlight w:val="none"/>
        </w:rPr>
      </w:pPr>
      <w:r>
        <w:rPr>
          <w:rFonts w:hint="eastAsia" w:ascii="仿宋_GB2312"/>
          <w:b/>
          <w:bCs/>
          <w:color w:val="auto"/>
          <w:sz w:val="32"/>
          <w:szCs w:val="32"/>
          <w:highlight w:val="none"/>
        </w:rPr>
        <w:t>1.项目背景</w:t>
      </w:r>
    </w:p>
    <w:p w14:paraId="5F4F77A9">
      <w:pPr>
        <w:spacing w:line="56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 xml:space="preserve">城乡居民基本医疗保险是党中央、国务院深化医疗保障制度改革的重要举措，旨在解决城乡居民“看病难、看病贵”问题，保障群众基本医疗需求。根据《国务院关于整合城乡居民基本医疗保险制度的意见》《国家医保局 财政部关于建立医疗保障待遇清单制度的意见》等文件要求，自治区财政设立城乡居民医保补助专项资金，通过中央和自治区财政配套补助，支持城乡居民医保制度平稳运行。  </w:t>
      </w:r>
    </w:p>
    <w:p w14:paraId="2523B5D0">
      <w:pPr>
        <w:spacing w:line="56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本项目通过财政资金对参保居民进行缴费补助，重点保障低收入群体、脱贫人口、特殊困难人员的参保权益，确保城乡居民医保基金可持续运行，提升医保待遇水平，减轻群众医疗负担。项目实施范围覆盖自治区内所有统筹地区，惠及城乡居民参保人群，是实现“全民医保”和“健康中国”战略的重要支撑。</w:t>
      </w:r>
    </w:p>
    <w:p w14:paraId="4B8C6C06">
      <w:pPr>
        <w:spacing w:line="56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根据关于印发《自治区医疗卫生领域财政事权和支出责任划分改革实施方案》的通知》（新政办发</w:t>
      </w:r>
      <w:r>
        <w:rPr>
          <w:rFonts w:hint="eastAsia" w:ascii="仿宋_GB2312" w:hAnsi="仿宋_GB2312" w:cs="仿宋_GB2312"/>
          <w:color w:val="auto"/>
          <w:sz w:val="32"/>
          <w:szCs w:val="32"/>
          <w:highlight w:val="none"/>
        </w:rPr>
        <w:t>〔</w:t>
      </w:r>
      <w:r>
        <w:rPr>
          <w:rFonts w:hint="eastAsia" w:ascii="仿宋_GB2312"/>
          <w:color w:val="auto"/>
          <w:sz w:val="32"/>
          <w:szCs w:val="32"/>
          <w:highlight w:val="none"/>
        </w:rPr>
        <w:t>2019</w:t>
      </w:r>
      <w:r>
        <w:rPr>
          <w:rFonts w:hint="eastAsia" w:ascii="仿宋_GB2312" w:hAnsi="仿宋_GB2312" w:cs="仿宋_GB2312"/>
          <w:color w:val="auto"/>
          <w:sz w:val="32"/>
          <w:szCs w:val="32"/>
          <w:highlight w:val="none"/>
        </w:rPr>
        <w:t>〕</w:t>
      </w:r>
      <w:r>
        <w:rPr>
          <w:rFonts w:hint="eastAsia" w:ascii="仿宋_GB2312"/>
          <w:color w:val="auto"/>
          <w:sz w:val="32"/>
          <w:szCs w:val="32"/>
          <w:highlight w:val="none"/>
        </w:rPr>
        <w:t>1号）、《中央财政城乡居民基本医疗保险补助资金管理办法》（财社〔2022〕1号）、</w:t>
      </w:r>
      <w:r>
        <w:rPr>
          <w:rFonts w:hint="eastAsia" w:ascii="仿宋_GB2312"/>
          <w:color w:val="auto"/>
          <w:sz w:val="32"/>
          <w:szCs w:val="32"/>
          <w:highlight w:val="none"/>
        </w:rPr>
        <w:t>《国家医保局 财政部 国家税务总局关于做好2025年城乡居民基本医疗保障有关工作的通知》（医保发〔2025〕22号）精神</w:t>
      </w:r>
      <w:r>
        <w:rPr>
          <w:rFonts w:hint="eastAsia" w:ascii="仿宋_GB2312"/>
          <w:color w:val="auto"/>
          <w:sz w:val="32"/>
          <w:szCs w:val="32"/>
          <w:highlight w:val="none"/>
        </w:rPr>
        <w:t>，我区制定全面统一的城乡居民医保制度，积极推进全民参保计划，建立起覆盖全民、城乡统筹的多层次医疗保障体系。按照经中央财政审核认定的参保人数和国家公布的年度政府补助标准全额补助，稳步提高财政补助资金，确保城乡居民基本医疗保险参保人员的医疗待遇落实，有序开展城乡居民基本医疗保障工作。</w:t>
      </w:r>
    </w:p>
    <w:p w14:paraId="4B55DC5C">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2.主要内容及实施情况</w:t>
      </w:r>
    </w:p>
    <w:p w14:paraId="53163C18">
      <w:pPr>
        <w:spacing w:line="60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（1）主要内容</w:t>
      </w:r>
    </w:p>
    <w:p w14:paraId="2EBC3726">
      <w:pPr>
        <w:spacing w:line="600" w:lineRule="exact"/>
        <w:ind w:firstLine="640" w:firstLineChars="200"/>
        <w:outlineLvl w:val="9"/>
        <w:rPr>
          <w:rFonts w:hint="eastAsia" w:ascii="仿宋_GB2312"/>
          <w:color w:val="auto"/>
          <w:sz w:val="32"/>
          <w:szCs w:val="32"/>
          <w:highlight w:val="none"/>
        </w:rPr>
      </w:pPr>
      <w:r>
        <w:rPr>
          <w:rFonts w:hint="eastAsia" w:ascii="仿宋_GB2312"/>
          <w:color w:val="auto"/>
          <w:sz w:val="32"/>
          <w:szCs w:val="32"/>
          <w:highlight w:val="none"/>
        </w:rPr>
        <w:t>根据《财政部、医保局关于修订&lt;中央财政城乡居民基本医疗保险补助资金管理办法&gt;的通知》（财社〔2022〕1号）、《基本公共服务领域自治区以下共同财政事权和支出责任划分改革方案》等文件，通过实施该项目，积极推进全民参保计划，巩固参保率；稳步提高财政补助资金，确保城乡居民基本医疗保险参保人员的医疗待遇落实；按时足额安排财政补助资金，确保在每年12月底以前全部到位；全面实施大病保险制度，减轻参保人员的经济负担，缓解社会矛盾；实现基金收支平衡。</w:t>
      </w:r>
    </w:p>
    <w:p w14:paraId="21526144">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3.资金投入和使用情况</w:t>
      </w:r>
    </w:p>
    <w:p w14:paraId="371ABA50">
      <w:pPr>
        <w:spacing w:line="60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城乡居民医保自治区财政补助资金</w:t>
      </w:r>
      <w:r>
        <w:rPr>
          <w:rFonts w:ascii="仿宋_GB2312"/>
          <w:color w:val="auto"/>
          <w:sz w:val="32"/>
          <w:szCs w:val="32"/>
          <w:highlight w:val="none"/>
        </w:rPr>
        <w:t>项目预算总额为</w:t>
      </w:r>
      <w:r>
        <w:rPr>
          <w:rFonts w:hint="eastAsia" w:ascii="仿宋_GB2312"/>
          <w:color w:val="auto"/>
          <w:sz w:val="32"/>
          <w:szCs w:val="32"/>
          <w:highlight w:val="none"/>
          <w:lang w:val="en-US" w:eastAsia="zh-CN"/>
        </w:rPr>
        <w:t>188633</w:t>
      </w:r>
      <w:r>
        <w:rPr>
          <w:rFonts w:ascii="仿宋_GB2312"/>
          <w:color w:val="auto"/>
          <w:sz w:val="32"/>
          <w:szCs w:val="32"/>
          <w:highlight w:val="none"/>
        </w:rPr>
        <w:t>万元，</w:t>
      </w:r>
      <w:r>
        <w:rPr>
          <w:rFonts w:hint="eastAsia" w:ascii="仿宋_GB2312"/>
          <w:color w:val="auto"/>
          <w:sz w:val="32"/>
          <w:szCs w:val="32"/>
          <w:highlight w:val="none"/>
        </w:rPr>
        <w:t>资金来源为自治区财政资金，</w:t>
      </w:r>
      <w:r>
        <w:rPr>
          <w:rFonts w:ascii="仿宋_GB2312"/>
          <w:color w:val="auto"/>
          <w:sz w:val="32"/>
          <w:szCs w:val="32"/>
          <w:highlight w:val="none"/>
        </w:rPr>
        <w:t>截止到</w:t>
      </w:r>
      <w:r>
        <w:rPr>
          <w:rFonts w:hint="eastAsia" w:ascii="仿宋_GB2312"/>
          <w:color w:val="auto"/>
          <w:sz w:val="32"/>
          <w:szCs w:val="32"/>
          <w:highlight w:val="none"/>
          <w:lang w:eastAsia="zh-CN"/>
        </w:rPr>
        <w:t>2025</w:t>
      </w:r>
      <w:r>
        <w:rPr>
          <w:rFonts w:ascii="仿宋_GB2312"/>
          <w:color w:val="auto"/>
          <w:sz w:val="32"/>
          <w:szCs w:val="32"/>
          <w:highlight w:val="none"/>
        </w:rPr>
        <w:t>年12月31日</w:t>
      </w:r>
      <w:r>
        <w:rPr>
          <w:rFonts w:hint="eastAsia" w:ascii="仿宋_GB2312"/>
          <w:color w:val="auto"/>
          <w:sz w:val="32"/>
          <w:szCs w:val="32"/>
          <w:highlight w:val="none"/>
        </w:rPr>
        <w:t>，</w:t>
      </w:r>
      <w:r>
        <w:rPr>
          <w:rFonts w:ascii="仿宋_GB2312"/>
          <w:color w:val="auto"/>
          <w:sz w:val="32"/>
          <w:szCs w:val="32"/>
          <w:highlight w:val="none"/>
        </w:rPr>
        <w:t>项目到位资金</w:t>
      </w:r>
      <w:r>
        <w:rPr>
          <w:rFonts w:hint="eastAsia" w:ascii="仿宋_GB2312"/>
          <w:color w:val="auto"/>
          <w:sz w:val="32"/>
          <w:szCs w:val="32"/>
          <w:highlight w:val="none"/>
          <w:lang w:val="en-US" w:eastAsia="zh-CN"/>
        </w:rPr>
        <w:t>188633</w:t>
      </w:r>
      <w:r>
        <w:rPr>
          <w:rFonts w:ascii="仿宋_GB2312"/>
          <w:color w:val="auto"/>
          <w:sz w:val="32"/>
          <w:szCs w:val="32"/>
          <w:highlight w:val="none"/>
        </w:rPr>
        <w:t>万元，预算资金到位率</w:t>
      </w:r>
      <w:r>
        <w:rPr>
          <w:rFonts w:hint="eastAsia" w:ascii="仿宋_GB2312"/>
          <w:color w:val="auto"/>
          <w:sz w:val="32"/>
          <w:szCs w:val="32"/>
          <w:highlight w:val="none"/>
        </w:rPr>
        <w:t>100</w:t>
      </w:r>
      <w:r>
        <w:rPr>
          <w:rFonts w:ascii="仿宋_GB2312"/>
          <w:color w:val="auto"/>
          <w:sz w:val="32"/>
          <w:szCs w:val="32"/>
          <w:highlight w:val="none"/>
        </w:rPr>
        <w:t>%</w:t>
      </w:r>
      <w:r>
        <w:rPr>
          <w:rFonts w:hint="eastAsia" w:ascii="仿宋_GB2312"/>
          <w:color w:val="auto"/>
          <w:sz w:val="32"/>
          <w:szCs w:val="32"/>
          <w:highlight w:val="none"/>
        </w:rPr>
        <w:t>。</w:t>
      </w:r>
    </w:p>
    <w:p w14:paraId="5F426E0A">
      <w:pPr>
        <w:spacing w:line="60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lang w:eastAsia="zh-CN"/>
        </w:rPr>
        <w:t>2025</w:t>
      </w:r>
      <w:r>
        <w:rPr>
          <w:rFonts w:hint="eastAsia" w:ascii="仿宋_GB2312"/>
          <w:color w:val="auto"/>
          <w:sz w:val="32"/>
          <w:szCs w:val="32"/>
          <w:highlight w:val="none"/>
        </w:rPr>
        <w:t>年度，城乡居民医保自治区财政补助资金项目预算资金共计执行</w:t>
      </w:r>
      <w:r>
        <w:rPr>
          <w:rFonts w:hint="eastAsia" w:ascii="仿宋_GB2312"/>
          <w:color w:val="auto"/>
          <w:sz w:val="32"/>
          <w:szCs w:val="32"/>
          <w:highlight w:val="none"/>
          <w:lang w:val="en-US" w:eastAsia="zh-CN"/>
        </w:rPr>
        <w:t>188633</w:t>
      </w:r>
      <w:r>
        <w:rPr>
          <w:rFonts w:hint="eastAsia" w:ascii="仿宋_GB2312"/>
          <w:color w:val="auto"/>
          <w:sz w:val="32"/>
          <w:szCs w:val="32"/>
          <w:highlight w:val="none"/>
        </w:rPr>
        <w:t>万元，资金执行率100%。</w:t>
      </w:r>
    </w:p>
    <w:p w14:paraId="27714DDB">
      <w:pPr>
        <w:spacing w:line="600" w:lineRule="exact"/>
        <w:ind w:firstLine="640" w:firstLineChars="200"/>
        <w:outlineLvl w:val="9"/>
        <w:rPr>
          <w:rFonts w:ascii="仿宋_GB2312"/>
          <w:color w:val="auto"/>
          <w:sz w:val="32"/>
          <w:szCs w:val="32"/>
          <w:highlight w:val="none"/>
        </w:rPr>
      </w:pPr>
      <w:r>
        <w:rPr>
          <w:rFonts w:hint="eastAsia" w:ascii="仿宋_GB2312"/>
          <w:color w:val="auto"/>
          <w:sz w:val="32"/>
          <w:szCs w:val="32"/>
          <w:highlight w:val="none"/>
        </w:rPr>
        <w:t>详请见下表：</w:t>
      </w:r>
    </w:p>
    <w:p w14:paraId="4E5FDC38">
      <w:pPr>
        <w:pStyle w:val="8"/>
        <w:outlineLvl w:val="9"/>
        <w:rPr>
          <w:rFonts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eastAsia="zh-CN"/>
        </w:rPr>
        <w:t>2025</w:t>
      </w:r>
      <w:r>
        <w:rPr>
          <w:rFonts w:hint="eastAsia" w:ascii="仿宋_GB2312" w:hAnsi="仿宋_GB2312" w:eastAsia="仿宋_GB2312" w:cs="仿宋_GB2312"/>
          <w:color w:val="auto"/>
          <w:highlight w:val="none"/>
        </w:rPr>
        <w:t>年城乡居民医保自治区财政补助资金项目执行情况</w:t>
      </w:r>
    </w:p>
    <w:p w14:paraId="62D57564">
      <w:pPr>
        <w:jc w:val="right"/>
        <w:rPr>
          <w:color w:val="auto"/>
          <w:sz w:val="32"/>
          <w:szCs w:val="32"/>
          <w:highlight w:val="none"/>
        </w:rPr>
      </w:pPr>
      <w:r>
        <w:rPr>
          <w:rFonts w:hint="eastAsia" w:ascii="仿宋_GB2312"/>
          <w:color w:val="auto"/>
          <w:sz w:val="32"/>
          <w:szCs w:val="32"/>
          <w:highlight w:val="none"/>
        </w:rPr>
        <w:t>单位：万元</w:t>
      </w:r>
    </w:p>
    <w:tbl>
      <w:tblPr>
        <w:tblStyle w:val="9"/>
        <w:tblW w:w="8799" w:type="dxa"/>
        <w:tblInd w:w="93" w:type="dxa"/>
        <w:tblLayout w:type="autofit"/>
        <w:tblCellMar>
          <w:top w:w="0" w:type="dxa"/>
          <w:left w:w="108" w:type="dxa"/>
          <w:bottom w:w="0" w:type="dxa"/>
          <w:right w:w="108" w:type="dxa"/>
        </w:tblCellMar>
      </w:tblPr>
      <w:tblGrid>
        <w:gridCol w:w="3331"/>
        <w:gridCol w:w="2734"/>
        <w:gridCol w:w="2734"/>
      </w:tblGrid>
      <w:tr w14:paraId="78858ABC">
        <w:tblPrEx>
          <w:tblCellMar>
            <w:top w:w="0" w:type="dxa"/>
            <w:left w:w="108" w:type="dxa"/>
            <w:bottom w:w="0" w:type="dxa"/>
            <w:right w:w="108" w:type="dxa"/>
          </w:tblCellMar>
        </w:tblPrEx>
        <w:trPr>
          <w:trHeight w:val="567"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258DE">
            <w:pPr>
              <w:widowControl/>
              <w:jc w:val="center"/>
              <w:textAlignment w:val="center"/>
              <w:rPr>
                <w:rFonts w:ascii="仿宋_GB2312" w:hAnsi="仿宋_GB2312" w:cs="仿宋_GB2312"/>
                <w:b/>
                <w:bCs/>
                <w:color w:val="auto"/>
                <w:sz w:val="28"/>
                <w:szCs w:val="28"/>
                <w:highlight w:val="none"/>
              </w:rPr>
            </w:pPr>
            <w:r>
              <w:rPr>
                <w:rFonts w:hint="eastAsia" w:ascii="仿宋_GB2312" w:hAnsi="仿宋_GB2312" w:cs="仿宋_GB2312"/>
                <w:b/>
                <w:bCs/>
                <w:color w:val="auto"/>
                <w:kern w:val="0"/>
                <w:sz w:val="28"/>
                <w:szCs w:val="28"/>
                <w:highlight w:val="none"/>
              </w:rPr>
              <w:t>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60EB7A">
            <w:pPr>
              <w:widowControl/>
              <w:jc w:val="center"/>
              <w:textAlignment w:val="center"/>
              <w:rPr>
                <w:rFonts w:ascii="仿宋_GB2312" w:hAnsi="仿宋_GB2312" w:cs="仿宋_GB2312"/>
                <w:b/>
                <w:bCs/>
                <w:color w:val="auto"/>
                <w:sz w:val="28"/>
                <w:szCs w:val="28"/>
                <w:highlight w:val="none"/>
              </w:rPr>
            </w:pPr>
            <w:r>
              <w:rPr>
                <w:rFonts w:hint="eastAsia" w:ascii="仿宋_GB2312" w:hAnsi="仿宋_GB2312" w:cs="仿宋_GB2312"/>
                <w:b/>
                <w:bCs/>
                <w:color w:val="auto"/>
                <w:kern w:val="0"/>
                <w:sz w:val="28"/>
                <w:szCs w:val="28"/>
                <w:highlight w:val="none"/>
              </w:rPr>
              <w:t>下达数</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107F6">
            <w:pPr>
              <w:widowControl/>
              <w:jc w:val="center"/>
              <w:textAlignment w:val="center"/>
              <w:rPr>
                <w:rFonts w:ascii="仿宋_GB2312" w:hAnsi="仿宋_GB2312" w:cs="仿宋_GB2312"/>
                <w:b/>
                <w:bCs/>
                <w:color w:val="auto"/>
                <w:sz w:val="28"/>
                <w:szCs w:val="28"/>
                <w:highlight w:val="none"/>
              </w:rPr>
            </w:pPr>
            <w:r>
              <w:rPr>
                <w:rFonts w:hint="eastAsia" w:ascii="仿宋_GB2312" w:hAnsi="仿宋_GB2312" w:cs="仿宋_GB2312"/>
                <w:b/>
                <w:bCs/>
                <w:color w:val="auto"/>
                <w:kern w:val="0"/>
                <w:sz w:val="28"/>
                <w:szCs w:val="28"/>
                <w:highlight w:val="none"/>
              </w:rPr>
              <w:t>执行数</w:t>
            </w:r>
          </w:p>
        </w:tc>
      </w:tr>
      <w:tr w14:paraId="3DA76743">
        <w:tblPrEx>
          <w:tblCellMar>
            <w:top w:w="0" w:type="dxa"/>
            <w:left w:w="108" w:type="dxa"/>
            <w:bottom w:w="0" w:type="dxa"/>
            <w:right w:w="108" w:type="dxa"/>
          </w:tblCellMar>
        </w:tblPrEx>
        <w:trPr>
          <w:trHeight w:val="510"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F6EBB">
            <w:pPr>
              <w:widowControl/>
              <w:jc w:val="center"/>
              <w:textAlignment w:val="center"/>
              <w:rPr>
                <w:rFonts w:ascii="仿宋_GB2312" w:hAnsi="仿宋_GB2312" w:cs="仿宋_GB2312"/>
                <w:color w:val="auto"/>
                <w:sz w:val="28"/>
                <w:szCs w:val="28"/>
                <w:highlight w:val="none"/>
              </w:rPr>
            </w:pPr>
            <w:r>
              <w:rPr>
                <w:rFonts w:hint="eastAsia" w:ascii="仿宋_GB2312" w:hAnsi="仿宋_GB2312" w:cs="仿宋_GB2312"/>
                <w:color w:val="auto"/>
                <w:kern w:val="0"/>
                <w:sz w:val="28"/>
                <w:szCs w:val="28"/>
                <w:highlight w:val="none"/>
              </w:rPr>
              <w:t>合计</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BF420">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188633</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64B9F">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188633</w:t>
            </w:r>
          </w:p>
        </w:tc>
      </w:tr>
      <w:tr w14:paraId="46AC9237">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BBD346">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乌鲁木齐市</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48A03">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4487</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75903">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4487</w:t>
            </w:r>
          </w:p>
        </w:tc>
      </w:tr>
      <w:tr w14:paraId="0EA8E1B9">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C18D9">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克拉玛依市</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0DF2A3">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466</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79DCF7">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466</w:t>
            </w:r>
          </w:p>
        </w:tc>
      </w:tr>
      <w:tr w14:paraId="22CDB46C">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3CFEF">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伊犁州</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B9532">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15296</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EC99E">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15296</w:t>
            </w:r>
          </w:p>
        </w:tc>
      </w:tr>
      <w:tr w14:paraId="665A25F0">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B32B36">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塔城地区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338DF1">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5977</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5D38B">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5977</w:t>
            </w:r>
          </w:p>
        </w:tc>
      </w:tr>
      <w:tr w14:paraId="7D426B24">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CB914A">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阿勒泰地区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9C3A6">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3858</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DAC18F">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3858</w:t>
            </w:r>
          </w:p>
        </w:tc>
      </w:tr>
      <w:tr w14:paraId="0D1F9F62">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EBB73">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博州</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5CD55F">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2494</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E99AA9">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2494</w:t>
            </w:r>
          </w:p>
        </w:tc>
      </w:tr>
      <w:tr w14:paraId="5460E486">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38129">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昌吉州</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0F940">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6428</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FB33F">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6428</w:t>
            </w:r>
          </w:p>
        </w:tc>
      </w:tr>
      <w:tr w14:paraId="544E0D73">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0238A">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巴州</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B8BE1B">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6772</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6F086">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6772</w:t>
            </w:r>
          </w:p>
        </w:tc>
      </w:tr>
      <w:tr w14:paraId="62912B1B">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8E8E2D">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阿克苏地区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26A07">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20558</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ACF3C">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20558</w:t>
            </w:r>
          </w:p>
        </w:tc>
      </w:tr>
      <w:tr w14:paraId="676B8B7E">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E5775">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克州</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4DAFFA">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8617</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E85CF">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8617</w:t>
            </w:r>
          </w:p>
        </w:tc>
      </w:tr>
      <w:tr w14:paraId="6739535F">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A2577">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喀什地区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CF6526">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69465</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0C200">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69465</w:t>
            </w:r>
          </w:p>
        </w:tc>
      </w:tr>
      <w:tr w14:paraId="4E94D0D9">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4B6F9">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和田地区</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79714">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37736</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7465D">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37736</w:t>
            </w:r>
          </w:p>
        </w:tc>
      </w:tr>
      <w:tr w14:paraId="59114B79">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C7048">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吐鲁番市</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B554A">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3898</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9A8C1">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3898</w:t>
            </w:r>
          </w:p>
        </w:tc>
      </w:tr>
      <w:tr w14:paraId="78E7F6A6">
        <w:tblPrEx>
          <w:tblCellMar>
            <w:top w:w="0" w:type="dxa"/>
            <w:left w:w="108" w:type="dxa"/>
            <w:bottom w:w="0" w:type="dxa"/>
            <w:right w:w="108" w:type="dxa"/>
          </w:tblCellMar>
        </w:tblPrEx>
        <w:trPr>
          <w:trHeight w:val="510" w:hRule="atLeast"/>
        </w:trPr>
        <w:tc>
          <w:tcPr>
            <w:tcW w:w="333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A7D02E">
            <w:pPr>
              <w:keepNext w:val="0"/>
              <w:keepLines w:val="0"/>
              <w:widowControl/>
              <w:suppressLineNumbers w:val="0"/>
              <w:jc w:val="center"/>
              <w:textAlignment w:val="center"/>
              <w:rPr>
                <w:rFonts w:ascii="仿宋_GB2312" w:hAnsi="仿宋_GB2312" w:cs="仿宋_GB2312"/>
                <w:color w:val="auto"/>
                <w:sz w:val="36"/>
                <w:szCs w:val="36"/>
                <w:highlight w:val="none"/>
              </w:rPr>
            </w:pPr>
            <w:r>
              <w:rPr>
                <w:rFonts w:hint="eastAsia" w:ascii="方正仿宋_GBK" w:hAnsi="方正仿宋_GBK" w:eastAsia="方正仿宋_GBK" w:cs="方正仿宋_GBK"/>
                <w:i w:val="0"/>
                <w:iCs w:val="0"/>
                <w:color w:val="auto"/>
                <w:spacing w:val="-6"/>
                <w:kern w:val="0"/>
                <w:sz w:val="28"/>
                <w:szCs w:val="28"/>
                <w:highlight w:val="none"/>
                <w:u w:val="none"/>
                <w:lang w:val="en-US" w:eastAsia="zh-CN" w:bidi="ar"/>
              </w:rPr>
              <w:t>哈密市</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E6553">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2581</w:t>
            </w:r>
          </w:p>
        </w:tc>
        <w:tc>
          <w:tcPr>
            <w:tcW w:w="273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196E8">
            <w:pPr>
              <w:keepNext w:val="0"/>
              <w:keepLines w:val="0"/>
              <w:widowControl/>
              <w:suppressLineNumbers w:val="0"/>
              <w:jc w:val="right"/>
              <w:textAlignment w:val="center"/>
              <w:rPr>
                <w:rFonts w:ascii="仿宋_GB2312" w:hAnsi="仿宋_GB2312" w:cs="仿宋_GB2312"/>
                <w:color w:val="auto"/>
                <w:sz w:val="36"/>
                <w:szCs w:val="36"/>
                <w:highlight w:val="none"/>
              </w:rPr>
            </w:pPr>
            <w:r>
              <w:rPr>
                <w:rFonts w:hint="default" w:ascii="Times New Roman" w:hAnsi="Times New Roman" w:eastAsia="宋体" w:cs="Times New Roman"/>
                <w:i w:val="0"/>
                <w:iCs w:val="0"/>
                <w:color w:val="auto"/>
                <w:spacing w:val="-6"/>
                <w:kern w:val="0"/>
                <w:sz w:val="28"/>
                <w:szCs w:val="28"/>
                <w:highlight w:val="none"/>
                <w:u w:val="none"/>
                <w:lang w:val="en-US" w:eastAsia="zh-CN" w:bidi="ar"/>
              </w:rPr>
              <w:t>2581</w:t>
            </w:r>
          </w:p>
        </w:tc>
      </w:tr>
    </w:tbl>
    <w:p w14:paraId="4FA46944">
      <w:pPr>
        <w:pStyle w:val="8"/>
        <w:spacing w:before="0" w:after="0" w:line="560" w:lineRule="exact"/>
        <w:ind w:firstLine="643" w:firstLineChars="200"/>
        <w:jc w:val="both"/>
        <w:outlineLvl w:val="9"/>
        <w:rPr>
          <w:rFonts w:ascii="Times New Roman" w:hAnsi="Times New Roman" w:eastAsia="楷体_GB2312"/>
          <w:color w:val="auto"/>
          <w:highlight w:val="none"/>
        </w:rPr>
      </w:pPr>
    </w:p>
    <w:p w14:paraId="5037960C">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（二）项目绩效目标</w:t>
      </w:r>
    </w:p>
    <w:p w14:paraId="6CCCD78B">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1.总体目标</w:t>
      </w:r>
    </w:p>
    <w:p w14:paraId="18D78F64">
      <w:pPr>
        <w:spacing w:line="600" w:lineRule="exact"/>
        <w:ind w:firstLine="640" w:firstLineChars="200"/>
        <w:outlineLvl w:val="9"/>
        <w:rPr>
          <w:rFonts w:hint="eastAsia" w:ascii="仿宋_GB2312"/>
          <w:color w:val="auto"/>
          <w:sz w:val="32"/>
          <w:szCs w:val="32"/>
          <w:highlight w:val="none"/>
        </w:rPr>
      </w:pPr>
      <w:r>
        <w:rPr>
          <w:rFonts w:hint="eastAsia" w:ascii="仿宋_GB2312"/>
          <w:color w:val="auto"/>
          <w:sz w:val="32"/>
          <w:szCs w:val="32"/>
          <w:highlight w:val="none"/>
        </w:rPr>
        <w:t>根据《财政部、医保局关于修订&lt;中央财政城乡居民基本医疗保险补助资金管理办法&gt;的通知》（财社〔2022〕1号）、《基本公共服务领域自治区以下共同财政事权和支出责任划分改革方案》等文件，通过实施该项目，积极推进全民参保计划，巩固参保率；稳步提高财政补助资金，确保城乡居民基本医疗保险参保人员的医疗待遇落实；按时足额安排财政补助资金，确保在每年12月底以前全部到位；全面实施大病保险制度，减轻参保人员的经济负担，缓解社会矛盾；实现基金收支平衡。</w:t>
      </w:r>
    </w:p>
    <w:p w14:paraId="0E82F512">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2.阶段性目标</w:t>
      </w:r>
    </w:p>
    <w:p w14:paraId="0F162889">
      <w:pPr>
        <w:spacing w:line="600" w:lineRule="exact"/>
        <w:ind w:firstLine="640" w:firstLineChars="200"/>
        <w:rPr>
          <w:rFonts w:ascii="仿宋_GB2312"/>
          <w:color w:val="auto"/>
          <w:sz w:val="32"/>
          <w:szCs w:val="32"/>
          <w:highlight w:val="none"/>
        </w:rPr>
      </w:pPr>
      <w:r>
        <w:rPr>
          <w:rFonts w:ascii="仿宋_GB2312"/>
          <w:color w:val="auto"/>
          <w:sz w:val="32"/>
          <w:szCs w:val="32"/>
          <w:highlight w:val="none"/>
        </w:rPr>
        <w:t>项目根据相关文件要求设立绩效目标表，共设置一级指标</w:t>
      </w:r>
      <w:r>
        <w:rPr>
          <w:rFonts w:hint="eastAsia" w:ascii="仿宋_GB2312"/>
          <w:color w:val="auto"/>
          <w:sz w:val="32"/>
          <w:szCs w:val="32"/>
          <w:highlight w:val="none"/>
        </w:rPr>
        <w:t>3</w:t>
      </w:r>
      <w:r>
        <w:rPr>
          <w:rFonts w:ascii="仿宋_GB2312"/>
          <w:color w:val="auto"/>
          <w:sz w:val="32"/>
          <w:szCs w:val="32"/>
          <w:highlight w:val="none"/>
        </w:rPr>
        <w:t>个，二级指标</w:t>
      </w:r>
      <w:r>
        <w:rPr>
          <w:rFonts w:hint="eastAsia" w:ascii="仿宋_GB2312"/>
          <w:color w:val="auto"/>
          <w:sz w:val="32"/>
          <w:szCs w:val="32"/>
          <w:highlight w:val="none"/>
        </w:rPr>
        <w:t>5</w:t>
      </w:r>
      <w:r>
        <w:rPr>
          <w:rFonts w:ascii="仿宋_GB2312"/>
          <w:color w:val="auto"/>
          <w:sz w:val="32"/>
          <w:szCs w:val="32"/>
          <w:highlight w:val="none"/>
        </w:rPr>
        <w:t>个，三级指标</w:t>
      </w:r>
      <w:r>
        <w:rPr>
          <w:rFonts w:hint="eastAsia" w:ascii="仿宋_GB2312"/>
          <w:color w:val="auto"/>
          <w:sz w:val="32"/>
          <w:szCs w:val="32"/>
          <w:highlight w:val="none"/>
          <w:lang w:val="en-US" w:eastAsia="zh-CN"/>
        </w:rPr>
        <w:t>7</w:t>
      </w:r>
      <w:r>
        <w:rPr>
          <w:rFonts w:ascii="仿宋_GB2312"/>
          <w:color w:val="auto"/>
          <w:sz w:val="32"/>
          <w:szCs w:val="32"/>
          <w:highlight w:val="none"/>
        </w:rPr>
        <w:t>个，具体设定情况如下：</w:t>
      </w:r>
    </w:p>
    <w:p w14:paraId="728C3B83">
      <w:pPr>
        <w:numPr>
          <w:ilvl w:val="0"/>
          <w:numId w:val="1"/>
        </w:numPr>
        <w:spacing w:line="600" w:lineRule="exact"/>
        <w:ind w:firstLine="643" w:firstLineChars="200"/>
        <w:rPr>
          <w:rFonts w:ascii="仿宋_GB2312"/>
          <w:b/>
          <w:bCs/>
          <w:color w:val="auto"/>
          <w:sz w:val="32"/>
          <w:szCs w:val="32"/>
          <w:highlight w:val="none"/>
        </w:rPr>
      </w:pPr>
      <w:r>
        <w:rPr>
          <w:rFonts w:hint="eastAsia" w:ascii="仿宋_GB2312"/>
          <w:b/>
          <w:bCs/>
          <w:color w:val="auto"/>
          <w:sz w:val="32"/>
          <w:szCs w:val="32"/>
          <w:highlight w:val="none"/>
        </w:rPr>
        <w:t>产出指标</w:t>
      </w:r>
    </w:p>
    <w:p w14:paraId="2461EA9C">
      <w:pPr>
        <w:spacing w:line="600" w:lineRule="exact"/>
        <w:ind w:firstLine="643" w:firstLineChars="200"/>
        <w:rPr>
          <w:rFonts w:ascii="仿宋_GB2312"/>
          <w:color w:val="auto"/>
          <w:sz w:val="32"/>
          <w:szCs w:val="32"/>
          <w:highlight w:val="none"/>
        </w:rPr>
      </w:pPr>
      <w:r>
        <w:rPr>
          <w:rFonts w:hint="eastAsia" w:ascii="仿宋_GB2312"/>
          <w:b/>
          <w:bCs/>
          <w:color w:val="auto"/>
          <w:sz w:val="32"/>
          <w:szCs w:val="32"/>
          <w:highlight w:val="none"/>
        </w:rPr>
        <w:t>数量指标</w:t>
      </w:r>
    </w:p>
    <w:p w14:paraId="1038723F">
      <w:pPr>
        <w:spacing w:line="60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lang w:val="en-US" w:eastAsia="zh-CN"/>
        </w:rPr>
        <w:t>a.</w:t>
      </w:r>
      <w:r>
        <w:rPr>
          <w:rFonts w:hint="eastAsia" w:ascii="仿宋_GB2312"/>
          <w:color w:val="auto"/>
          <w:sz w:val="32"/>
          <w:szCs w:val="32"/>
          <w:highlight w:val="none"/>
        </w:rPr>
        <w:t>基本医疗保险参保人数指标，指标值大于等于2086万人。</w:t>
      </w:r>
    </w:p>
    <w:p w14:paraId="706C5724">
      <w:pPr>
        <w:spacing w:line="600" w:lineRule="exact"/>
        <w:ind w:firstLine="643" w:firstLineChars="200"/>
        <w:rPr>
          <w:rFonts w:hint="default" w:ascii="仿宋_GB2312"/>
          <w:b/>
          <w:bCs/>
          <w:color w:val="auto"/>
          <w:sz w:val="32"/>
          <w:szCs w:val="32"/>
          <w:highlight w:val="none"/>
          <w:lang w:val="en-US" w:eastAsia="zh-CN"/>
        </w:rPr>
      </w:pPr>
      <w:r>
        <w:rPr>
          <w:rFonts w:hint="eastAsia" w:ascii="仿宋_GB2312"/>
          <w:b/>
          <w:bCs/>
          <w:color w:val="auto"/>
          <w:sz w:val="32"/>
          <w:szCs w:val="32"/>
          <w:highlight w:val="none"/>
          <w:lang w:val="en-US" w:eastAsia="zh-CN"/>
        </w:rPr>
        <w:t>质量指标</w:t>
      </w:r>
    </w:p>
    <w:p w14:paraId="58FEE961">
      <w:pPr>
        <w:numPr>
          <w:ilvl w:val="0"/>
          <w:numId w:val="2"/>
        </w:num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申请结算补助资金时多报、虚报参保人数指标，指标值等于</w:t>
      </w:r>
      <w:r>
        <w:rPr>
          <w:rFonts w:hint="eastAsia" w:ascii="仿宋_GB2312"/>
          <w:color w:val="auto"/>
          <w:sz w:val="32"/>
          <w:szCs w:val="32"/>
          <w:highlight w:val="none"/>
          <w:lang w:val="en-US" w:eastAsia="zh-CN"/>
        </w:rPr>
        <w:t>0人</w:t>
      </w:r>
      <w:r>
        <w:rPr>
          <w:rFonts w:hint="eastAsia" w:ascii="仿宋_GB2312"/>
          <w:color w:val="auto"/>
          <w:sz w:val="32"/>
          <w:szCs w:val="32"/>
          <w:highlight w:val="none"/>
        </w:rPr>
        <w:t>。</w:t>
      </w:r>
    </w:p>
    <w:p w14:paraId="1EC19A99">
      <w:pPr>
        <w:numPr>
          <w:ilvl w:val="0"/>
          <w:numId w:val="2"/>
        </w:num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参保人政策范围内住院费用报销比例指标，指标值大于等于</w:t>
      </w:r>
      <w:r>
        <w:rPr>
          <w:rFonts w:hint="eastAsia" w:ascii="仿宋_GB2312"/>
          <w:color w:val="auto"/>
          <w:sz w:val="32"/>
          <w:szCs w:val="32"/>
          <w:highlight w:val="none"/>
          <w:lang w:val="en-US" w:eastAsia="zh-CN"/>
        </w:rPr>
        <w:t>75</w:t>
      </w:r>
      <w:r>
        <w:rPr>
          <w:rFonts w:hint="eastAsia" w:ascii="仿宋_GB2312"/>
          <w:color w:val="auto"/>
          <w:sz w:val="32"/>
          <w:szCs w:val="32"/>
          <w:highlight w:val="none"/>
        </w:rPr>
        <w:t>%。</w:t>
      </w:r>
    </w:p>
    <w:p w14:paraId="75E8FEAA">
      <w:pPr>
        <w:numPr>
          <w:ilvl w:val="0"/>
          <w:numId w:val="0"/>
        </w:num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c.</w:t>
      </w:r>
      <w:r>
        <w:rPr>
          <w:rFonts w:ascii="仿宋_GB2312"/>
          <w:color w:val="auto"/>
          <w:sz w:val="32"/>
          <w:szCs w:val="32"/>
          <w:highlight w:val="none"/>
        </w:rPr>
        <w:t>基金滚存结余可支配月数</w:t>
      </w:r>
      <w:r>
        <w:rPr>
          <w:rFonts w:hint="eastAsia" w:ascii="仿宋_GB2312"/>
          <w:color w:val="auto"/>
          <w:sz w:val="32"/>
          <w:szCs w:val="32"/>
          <w:highlight w:val="none"/>
        </w:rPr>
        <w:t>指标，指标值大于等于9个月。</w:t>
      </w:r>
    </w:p>
    <w:p w14:paraId="49F12271">
      <w:pPr>
        <w:spacing w:line="600" w:lineRule="exact"/>
        <w:ind w:firstLine="643" w:firstLineChars="200"/>
        <w:rPr>
          <w:rFonts w:ascii="仿宋_GB2312"/>
          <w:color w:val="auto"/>
          <w:sz w:val="32"/>
          <w:szCs w:val="32"/>
          <w:highlight w:val="none"/>
        </w:rPr>
      </w:pPr>
      <w:r>
        <w:rPr>
          <w:rFonts w:hint="eastAsia" w:ascii="仿宋_GB2312"/>
          <w:b/>
          <w:bCs/>
          <w:color w:val="auto"/>
          <w:sz w:val="32"/>
          <w:szCs w:val="32"/>
          <w:highlight w:val="none"/>
        </w:rPr>
        <w:t>时效指标</w:t>
      </w:r>
    </w:p>
    <w:p w14:paraId="1D2D7F45">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lang w:val="en-US" w:eastAsia="zh-CN"/>
        </w:rPr>
        <w:t>a.</w:t>
      </w:r>
      <w:r>
        <w:rPr>
          <w:rFonts w:hint="eastAsia" w:ascii="仿宋_GB2312"/>
          <w:color w:val="auto"/>
          <w:sz w:val="32"/>
          <w:szCs w:val="32"/>
          <w:highlight w:val="none"/>
        </w:rPr>
        <w:t>当年财政补助资金到位率指标，指标值等于100%。</w:t>
      </w:r>
    </w:p>
    <w:p w14:paraId="32F6031C">
      <w:pPr>
        <w:numPr>
          <w:ilvl w:val="0"/>
          <w:numId w:val="1"/>
        </w:numPr>
        <w:spacing w:line="600" w:lineRule="exact"/>
        <w:ind w:firstLine="643" w:firstLineChars="200"/>
        <w:rPr>
          <w:rFonts w:ascii="仿宋_GB2312"/>
          <w:b/>
          <w:bCs/>
          <w:color w:val="auto"/>
          <w:sz w:val="32"/>
          <w:szCs w:val="32"/>
          <w:highlight w:val="none"/>
        </w:rPr>
      </w:pPr>
      <w:r>
        <w:rPr>
          <w:rFonts w:hint="eastAsia" w:ascii="仿宋_GB2312"/>
          <w:b/>
          <w:bCs/>
          <w:color w:val="auto"/>
          <w:sz w:val="32"/>
          <w:szCs w:val="32"/>
          <w:highlight w:val="none"/>
        </w:rPr>
        <w:t>成本指标</w:t>
      </w:r>
    </w:p>
    <w:p w14:paraId="6123D07C">
      <w:pPr>
        <w:spacing w:line="600" w:lineRule="exact"/>
        <w:ind w:firstLine="643" w:firstLineChars="200"/>
        <w:rPr>
          <w:rFonts w:ascii="仿宋_GB2312"/>
          <w:b/>
          <w:bCs/>
          <w:color w:val="auto"/>
          <w:sz w:val="32"/>
          <w:szCs w:val="32"/>
          <w:highlight w:val="none"/>
        </w:rPr>
      </w:pPr>
      <w:r>
        <w:rPr>
          <w:rFonts w:hint="eastAsia" w:ascii="仿宋_GB2312"/>
          <w:b/>
          <w:bCs/>
          <w:color w:val="auto"/>
          <w:sz w:val="32"/>
          <w:szCs w:val="32"/>
          <w:highlight w:val="none"/>
        </w:rPr>
        <w:t>经济成本指标</w:t>
      </w:r>
    </w:p>
    <w:p w14:paraId="603804D1">
      <w:pPr>
        <w:spacing w:line="600" w:lineRule="exact"/>
        <w:ind w:firstLine="640" w:firstLineChars="200"/>
        <w:rPr>
          <w:rFonts w:hint="eastAsia" w:ascii="仿宋_GB2312" w:eastAsia="仿宋_GB2312"/>
          <w:color w:val="auto"/>
          <w:sz w:val="32"/>
          <w:szCs w:val="32"/>
          <w:highlight w:val="none"/>
          <w:lang w:val="en-US" w:eastAsia="zh-CN"/>
        </w:rPr>
      </w:pPr>
      <w:r>
        <w:rPr>
          <w:rFonts w:hint="eastAsia" w:ascii="仿宋_GB2312"/>
          <w:color w:val="auto"/>
          <w:sz w:val="32"/>
          <w:szCs w:val="32"/>
          <w:highlight w:val="none"/>
          <w:lang w:val="en-US" w:eastAsia="zh-CN"/>
        </w:rPr>
        <w:t>a.</w:t>
      </w:r>
      <w:r>
        <w:rPr>
          <w:rFonts w:hint="eastAsia" w:ascii="仿宋_GB2312"/>
          <w:color w:val="auto"/>
          <w:sz w:val="32"/>
          <w:szCs w:val="32"/>
          <w:highlight w:val="none"/>
        </w:rPr>
        <w:t>城乡居民医保自治区财政补助标准指标，指标值不低于700元/（年.人）</w:t>
      </w:r>
      <w:r>
        <w:rPr>
          <w:rFonts w:hint="eastAsia" w:ascii="仿宋_GB2312"/>
          <w:color w:val="auto"/>
          <w:sz w:val="32"/>
          <w:szCs w:val="32"/>
          <w:highlight w:val="none"/>
          <w:lang w:eastAsia="zh-CN"/>
        </w:rPr>
        <w:t>。</w:t>
      </w:r>
    </w:p>
    <w:p w14:paraId="5F916483">
      <w:pPr>
        <w:numPr>
          <w:ilvl w:val="0"/>
          <w:numId w:val="1"/>
        </w:numPr>
        <w:spacing w:line="600" w:lineRule="exact"/>
        <w:ind w:firstLine="643" w:firstLineChars="200"/>
        <w:rPr>
          <w:rFonts w:ascii="仿宋_GB2312"/>
          <w:b/>
          <w:bCs/>
          <w:color w:val="auto"/>
          <w:sz w:val="32"/>
          <w:szCs w:val="32"/>
          <w:highlight w:val="none"/>
        </w:rPr>
      </w:pPr>
      <w:r>
        <w:rPr>
          <w:rFonts w:hint="eastAsia" w:ascii="仿宋_GB2312"/>
          <w:b/>
          <w:bCs/>
          <w:color w:val="auto"/>
          <w:sz w:val="32"/>
          <w:szCs w:val="32"/>
          <w:highlight w:val="none"/>
        </w:rPr>
        <w:t>满意度指标</w:t>
      </w:r>
    </w:p>
    <w:p w14:paraId="5E56A2E5">
      <w:pPr>
        <w:spacing w:line="600" w:lineRule="exact"/>
        <w:ind w:firstLine="643" w:firstLineChars="200"/>
        <w:rPr>
          <w:rFonts w:hint="eastAsia" w:ascii="仿宋_GB2312"/>
          <w:b/>
          <w:bCs/>
          <w:color w:val="auto"/>
          <w:sz w:val="32"/>
          <w:szCs w:val="32"/>
          <w:highlight w:val="none"/>
          <w:lang w:val="en-US" w:eastAsia="zh-CN"/>
        </w:rPr>
      </w:pPr>
      <w:r>
        <w:rPr>
          <w:rFonts w:hint="eastAsia" w:ascii="仿宋_GB2312"/>
          <w:b/>
          <w:bCs/>
          <w:color w:val="auto"/>
          <w:sz w:val="32"/>
          <w:szCs w:val="32"/>
          <w:highlight w:val="none"/>
          <w:lang w:val="en-US" w:eastAsia="zh-CN"/>
        </w:rPr>
        <w:t>服务对象满意度指标</w:t>
      </w:r>
    </w:p>
    <w:p w14:paraId="09AA37D4">
      <w:pPr>
        <w:spacing w:line="600" w:lineRule="exact"/>
        <w:ind w:firstLine="640" w:firstLineChars="200"/>
        <w:rPr>
          <w:rFonts w:hint="eastAsia" w:ascii="仿宋_GB2312"/>
          <w:color w:val="auto"/>
          <w:sz w:val="32"/>
          <w:szCs w:val="32"/>
          <w:highlight w:val="none"/>
          <w:lang w:val="en-US" w:eastAsia="zh-CN"/>
        </w:rPr>
      </w:pPr>
      <w:r>
        <w:rPr>
          <w:rFonts w:hint="eastAsia" w:ascii="仿宋_GB2312"/>
          <w:color w:val="auto"/>
          <w:sz w:val="32"/>
          <w:szCs w:val="32"/>
          <w:highlight w:val="none"/>
          <w:lang w:val="en-US" w:eastAsia="zh-CN"/>
        </w:rPr>
        <w:t>a.参保人员满意度指标，指标值大于等于95%。</w:t>
      </w:r>
    </w:p>
    <w:p w14:paraId="29432334">
      <w:pPr>
        <w:spacing w:line="600" w:lineRule="exact"/>
        <w:ind w:firstLine="640" w:firstLineChars="200"/>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二、绩效评价工作开展情况</w:t>
      </w:r>
    </w:p>
    <w:p w14:paraId="25B834B7">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（一）绩效评价目的、对象和范围</w:t>
      </w:r>
    </w:p>
    <w:p w14:paraId="3CC4F118">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1.绩效评价目的</w:t>
      </w:r>
    </w:p>
    <w:p w14:paraId="42461C6F">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一是加强预算绩效管理，强化支出责任，提高财政资金使用效益；二是进一步总结和分析财政资金的支出效果，了解、分析、检验资金使用是否达到预期目标，资金管理是否规范，资金使用是否有效，考核城乡居民医保自治区财政补助资金效率和综合效果；三是通过绩效评价，总结经验、发现问题、改进工作，进一步加强城乡居民医保自治区财政补助资金项目管理，提高财政资金使用效益。</w:t>
      </w:r>
    </w:p>
    <w:p w14:paraId="0C796A44">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2.绩效评价对象</w:t>
      </w:r>
    </w:p>
    <w:p w14:paraId="1D87B024">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本次评价的对象为新疆维吾尔自治区医疗保障局城乡居民医保补助资金项目。该项目涉及金额</w:t>
      </w:r>
      <w:r>
        <w:rPr>
          <w:rFonts w:hint="eastAsia" w:ascii="仿宋_GB2312"/>
          <w:color w:val="auto"/>
          <w:sz w:val="32"/>
          <w:szCs w:val="32"/>
          <w:highlight w:val="none"/>
          <w:lang w:val="en-US" w:eastAsia="zh-CN"/>
        </w:rPr>
        <w:t>188633</w:t>
      </w:r>
      <w:r>
        <w:rPr>
          <w:rFonts w:hint="eastAsia" w:ascii="仿宋_GB2312"/>
          <w:color w:val="auto"/>
          <w:sz w:val="32"/>
          <w:szCs w:val="32"/>
          <w:highlight w:val="none"/>
        </w:rPr>
        <w:t>万元。</w:t>
      </w:r>
    </w:p>
    <w:p w14:paraId="00D0B32D">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3.绩效评价范围</w:t>
      </w:r>
    </w:p>
    <w:p w14:paraId="58C4DCF2">
      <w:pPr>
        <w:spacing w:line="600" w:lineRule="exact"/>
        <w:ind w:firstLine="640" w:firstLineChars="200"/>
        <w:rPr>
          <w:rFonts w:ascii="仿宋_GB2312"/>
          <w:color w:val="auto"/>
          <w:sz w:val="32"/>
          <w:szCs w:val="32"/>
          <w:highlight w:val="none"/>
        </w:rPr>
      </w:pPr>
      <w:r>
        <w:rPr>
          <w:rFonts w:ascii="仿宋_GB2312"/>
          <w:color w:val="auto"/>
          <w:sz w:val="32"/>
          <w:szCs w:val="32"/>
          <w:highlight w:val="none"/>
        </w:rPr>
        <w:t>本次评价从项目决策（包括</w:t>
      </w:r>
      <w:r>
        <w:rPr>
          <w:rFonts w:hint="eastAsia" w:ascii="仿宋_GB2312"/>
          <w:color w:val="auto"/>
          <w:sz w:val="32"/>
          <w:szCs w:val="32"/>
          <w:highlight w:val="none"/>
        </w:rPr>
        <w:t>决策依据、决策过程、绩效目标、资金分配</w:t>
      </w:r>
      <w:r>
        <w:rPr>
          <w:rFonts w:ascii="仿宋_GB2312"/>
          <w:color w:val="auto"/>
          <w:sz w:val="32"/>
          <w:szCs w:val="32"/>
          <w:highlight w:val="none"/>
        </w:rPr>
        <w:t>）、项目管理（包括</w:t>
      </w:r>
      <w:r>
        <w:rPr>
          <w:rFonts w:hint="eastAsia" w:ascii="仿宋_GB2312"/>
          <w:color w:val="auto"/>
          <w:sz w:val="32"/>
          <w:szCs w:val="32"/>
          <w:highlight w:val="none"/>
        </w:rPr>
        <w:t>资金管理、组织管理</w:t>
      </w:r>
      <w:r>
        <w:rPr>
          <w:rFonts w:ascii="仿宋_GB2312"/>
          <w:color w:val="auto"/>
          <w:sz w:val="32"/>
          <w:szCs w:val="32"/>
          <w:highlight w:val="none"/>
        </w:rPr>
        <w:t>）、产出</w:t>
      </w:r>
      <w:r>
        <w:rPr>
          <w:rFonts w:hint="eastAsia" w:ascii="仿宋_GB2312"/>
          <w:color w:val="auto"/>
          <w:sz w:val="32"/>
          <w:szCs w:val="32"/>
          <w:highlight w:val="none"/>
        </w:rPr>
        <w:t>指标</w:t>
      </w:r>
      <w:r>
        <w:rPr>
          <w:rFonts w:ascii="仿宋_GB2312"/>
          <w:color w:val="auto"/>
          <w:sz w:val="32"/>
          <w:szCs w:val="32"/>
          <w:highlight w:val="none"/>
        </w:rPr>
        <w:t>（包括项目产出数量、产出质量、产出时效和产出成本）</w:t>
      </w:r>
      <w:r>
        <w:rPr>
          <w:rFonts w:hint="eastAsia" w:ascii="仿宋_GB2312"/>
          <w:color w:val="auto"/>
          <w:sz w:val="32"/>
          <w:szCs w:val="32"/>
          <w:highlight w:val="none"/>
        </w:rPr>
        <w:t>、满意度指标（包括服务对象满意度指标）</w:t>
      </w:r>
      <w:r>
        <w:rPr>
          <w:rFonts w:ascii="仿宋_GB2312"/>
          <w:color w:val="auto"/>
          <w:sz w:val="32"/>
          <w:szCs w:val="32"/>
          <w:highlight w:val="none"/>
        </w:rPr>
        <w:t>四个维度对城乡居民医保自治区财政补助资金项目进行评价，评价核心为</w:t>
      </w:r>
      <w:r>
        <w:rPr>
          <w:rFonts w:hint="eastAsia" w:ascii="仿宋_GB2312"/>
          <w:color w:val="auto"/>
          <w:sz w:val="32"/>
          <w:szCs w:val="32"/>
          <w:highlight w:val="none"/>
        </w:rPr>
        <w:t>项目</w:t>
      </w:r>
      <w:r>
        <w:rPr>
          <w:rFonts w:ascii="仿宋_GB2312"/>
          <w:color w:val="auto"/>
          <w:sz w:val="32"/>
          <w:szCs w:val="32"/>
          <w:highlight w:val="none"/>
        </w:rPr>
        <w:t>资金的支出完成情况和效果。</w:t>
      </w:r>
    </w:p>
    <w:p w14:paraId="7105B1F3">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（二）绩效评价原则、评价指标体系、评价方法、评价标准等</w:t>
      </w:r>
    </w:p>
    <w:p w14:paraId="7E229F6B">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1.绩效评价原则</w:t>
      </w:r>
    </w:p>
    <w:p w14:paraId="11AAFB3C">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（1）科学公正。绩效评价应当运用科学合理的方法，按照规范的程序，对项目绩效进行客观、公正的反映。</w:t>
      </w:r>
    </w:p>
    <w:p w14:paraId="008AA0C9">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0604D058">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（3）激励约束。绩效评价结果应逐步与预算安排、政策调整、改进管理实质性挂钩，体现奖优罚劣和激励相容导向，有效要安排、低效要压减、无效要问责。</w:t>
      </w:r>
    </w:p>
    <w:p w14:paraId="4AF6A0DD">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（4）公开透明。绩效评价结果应依法依规公开，并自觉接受社会监督。</w:t>
      </w:r>
    </w:p>
    <w:p w14:paraId="6AD4B199">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2.评价指标体系</w:t>
      </w:r>
    </w:p>
    <w:p w14:paraId="19532E75">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绩效评价框架是开展绩效评价的核心。绩效评价框架包括评价准则、关键评价问题、评价指标、数据来源、数据收集方法等。指标体系建立过程如下：</w:t>
      </w:r>
    </w:p>
    <w:p w14:paraId="3C64DCEE">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（1）确定评价指标</w:t>
      </w:r>
    </w:p>
    <w:p w14:paraId="217F81D9">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根据《项目支出绩效评价管理办法》（财预〔2020〕10号）设计本次项目的“项目支出绩效评价指标体系”，采用层次分析法，建立评价指标体系。绩效评价将指标分为项目决策指标、项目过程指标、项目产出指标、项目满意度指标四个维度。</w:t>
      </w:r>
    </w:p>
    <w:p w14:paraId="68BBC3C9">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（2）确定权重</w:t>
      </w:r>
    </w:p>
    <w:p w14:paraId="187FD029">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确定各个指标相对于项目总体绩效的权重分值。在绩效评价指标体系中，项目决策权重为23分，项目过程权重为20分，项目产出权重为47分，项目满意度权重为10分。</w:t>
      </w:r>
    </w:p>
    <w:p w14:paraId="632E2E2A">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（3）确定指标标准值</w:t>
      </w:r>
    </w:p>
    <w:p w14:paraId="25111563">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指标标准值是绩效评价指标的尺度，既要反映同类项目的先进水平，又要符合项目的实际绩效水平。具体采用计划标准、历史标准等确定此次绩效评价指标标准值。</w:t>
      </w:r>
    </w:p>
    <w:p w14:paraId="649B9E0E">
      <w:pPr>
        <w:spacing w:line="60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本次绩效评价结果实施百分制和四级分类，其中90（含）-100分为优、80（含）-90分为良、70（含）-80分为中、70分以下为差。</w:t>
      </w:r>
    </w:p>
    <w:p w14:paraId="1CD3070A">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3.评价方法</w:t>
      </w:r>
    </w:p>
    <w:p w14:paraId="77F3C929">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绩效评价从项目决策、项目过程、项目产出、项目满意度四个维度进行评价。评价对象为项目目标实施情况，评价核心为资金的支出完成情况和项目的产出效益。</w:t>
      </w:r>
    </w:p>
    <w:p w14:paraId="3994D73D">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本次评价指标中，既有定性指标又有定量指标，各类指标因考核内容不同和客观标准不同存在较大差异，因此核定具体指标时采用了不同方法，具体评价方法如下：</w:t>
      </w:r>
    </w:p>
    <w:p w14:paraId="3D20B0B1">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（1）比较法</w:t>
      </w:r>
    </w:p>
    <w:p w14:paraId="655CFEB2">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通过对绩效目标与实施效果、历史与当期情况，综合分析绩效目标实现程度。将项目最终完成情况与年度绩效目标、预算资金执行情况等相关因素进行比较分析。</w:t>
      </w:r>
    </w:p>
    <w:p w14:paraId="23B6E278">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（2）因素分析法</w:t>
      </w:r>
    </w:p>
    <w:p w14:paraId="10142D96">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通过综合分析影响绩效目标实现、实施效果的内外因素，评价绩效目标实现程度。通过对项目的开展情况、项目产出数量、成本控制、资金拨付文件及自评报告等相关资料的收集和审核，综合分析各因素对绩效目标实现的影响。</w:t>
      </w:r>
    </w:p>
    <w:p w14:paraId="0B6ACECB">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4.评价标准</w:t>
      </w:r>
    </w:p>
    <w:p w14:paraId="3EB4918A">
      <w:pPr>
        <w:spacing w:line="600" w:lineRule="exact"/>
        <w:ind w:firstLine="640" w:firstLineChars="200"/>
        <w:rPr>
          <w:rFonts w:ascii="仿宋_GB2312"/>
          <w:color w:val="auto"/>
          <w:sz w:val="32"/>
          <w:szCs w:val="32"/>
          <w:highlight w:val="none"/>
        </w:rPr>
      </w:pPr>
      <w:r>
        <w:rPr>
          <w:rFonts w:hint="eastAsia" w:ascii="仿宋_GB2312"/>
          <w:color w:val="auto"/>
          <w:sz w:val="32"/>
          <w:szCs w:val="32"/>
          <w:highlight w:val="none"/>
        </w:rPr>
        <w:t>本项目主要采用的</w:t>
      </w:r>
      <w:r>
        <w:rPr>
          <w:rFonts w:ascii="仿宋_GB2312"/>
          <w:color w:val="auto"/>
          <w:sz w:val="32"/>
          <w:szCs w:val="32"/>
          <w:highlight w:val="none"/>
        </w:rPr>
        <w:t>绩效评价标准包括计划标准、行业标准、历史标准等，对绩效指标完成情况进行比较。</w:t>
      </w:r>
    </w:p>
    <w:p w14:paraId="1D606112">
      <w:pPr>
        <w:spacing w:line="600" w:lineRule="exact"/>
        <w:ind w:firstLine="640" w:firstLineChars="200"/>
        <w:rPr>
          <w:rFonts w:ascii="仿宋_GB2312"/>
          <w:color w:val="auto"/>
          <w:sz w:val="32"/>
          <w:szCs w:val="32"/>
          <w:highlight w:val="none"/>
        </w:rPr>
      </w:pPr>
      <w:r>
        <w:rPr>
          <w:rFonts w:ascii="仿宋_GB2312"/>
          <w:color w:val="auto"/>
          <w:sz w:val="32"/>
          <w:szCs w:val="32"/>
          <w:highlight w:val="none"/>
        </w:rPr>
        <w:t>（1）计划标准。以预先制定的目标、计划、预算、定额等作为评价标准。</w:t>
      </w:r>
    </w:p>
    <w:p w14:paraId="6517078C">
      <w:pPr>
        <w:spacing w:line="600" w:lineRule="exact"/>
        <w:ind w:firstLine="640" w:firstLineChars="200"/>
        <w:rPr>
          <w:rFonts w:ascii="仿宋_GB2312"/>
          <w:color w:val="auto"/>
          <w:sz w:val="32"/>
          <w:szCs w:val="32"/>
          <w:highlight w:val="none"/>
        </w:rPr>
      </w:pPr>
      <w:r>
        <w:rPr>
          <w:rFonts w:ascii="仿宋_GB2312"/>
          <w:color w:val="auto"/>
          <w:sz w:val="32"/>
          <w:szCs w:val="32"/>
          <w:highlight w:val="none"/>
        </w:rPr>
        <w:t>（</w:t>
      </w:r>
      <w:r>
        <w:rPr>
          <w:rFonts w:hint="eastAsia" w:ascii="仿宋_GB2312"/>
          <w:color w:val="auto"/>
          <w:sz w:val="32"/>
          <w:szCs w:val="32"/>
          <w:highlight w:val="none"/>
        </w:rPr>
        <w:t>2</w:t>
      </w:r>
      <w:r>
        <w:rPr>
          <w:rFonts w:ascii="仿宋_GB2312"/>
          <w:color w:val="auto"/>
          <w:sz w:val="32"/>
          <w:szCs w:val="32"/>
          <w:highlight w:val="none"/>
        </w:rPr>
        <w:t>）历史标准。参照历史数据制定的评价标准，为体现绩效改进的原则，在可实现的条件下应当确定相对较高的评价标准。</w:t>
      </w:r>
    </w:p>
    <w:p w14:paraId="19E9ECE7">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（三）绩效评价工作过程</w:t>
      </w:r>
    </w:p>
    <w:p w14:paraId="2F492CB9">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1.前期准备</w:t>
      </w:r>
    </w:p>
    <w:p w14:paraId="59025693">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首先成立评价工作组，开展前期调研；其次明确项目绩效目标，设计绩效评价指标体系并确定绩效评价方法；接着根据绩效评价范围，设计资料清单；最后制定评价实施方案并进行论证。</w:t>
      </w:r>
    </w:p>
    <w:p w14:paraId="267B780B">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2.组织实施</w:t>
      </w:r>
    </w:p>
    <w:p w14:paraId="393D83DA">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制定绩效评价工作方案，具体包括项目概况、评价思路、方法手段、组织实施、进度安排等。收集项目政策依据、相关会议纪要、财政资金分配方案、支付管理情况等相关评价资料并进行梳理。</w:t>
      </w:r>
    </w:p>
    <w:p w14:paraId="41C17EEA">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3.分析评价</w:t>
      </w:r>
    </w:p>
    <w:p w14:paraId="513AA6C7">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根据收集梳理的资料围绕项目计划、资金落实、业务管理、财务管理、项目产出、项目效益等内容，对照已确定的绩效评价指标进行详细全面的分析评价，逐项打分并形成绩效评价最终结果。</w:t>
      </w:r>
    </w:p>
    <w:p w14:paraId="5280BBF5">
      <w:pPr>
        <w:spacing w:line="600" w:lineRule="exact"/>
        <w:ind w:firstLine="640" w:firstLineChars="200"/>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三、综合评价情况及评价结论（详见附件2.评分表）</w:t>
      </w:r>
    </w:p>
    <w:p w14:paraId="31C2EA11">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（一）评价情况</w:t>
      </w:r>
    </w:p>
    <w:p w14:paraId="5510916B">
      <w:pPr>
        <w:spacing w:line="600" w:lineRule="exact"/>
        <w:ind w:firstLine="640" w:firstLineChars="200"/>
        <w:outlineLvl w:val="9"/>
        <w:rPr>
          <w:color w:val="auto"/>
          <w:kern w:val="28"/>
          <w:sz w:val="32"/>
          <w:szCs w:val="32"/>
          <w:highlight w:val="none"/>
        </w:rPr>
      </w:pPr>
      <w:r>
        <w:rPr>
          <w:rFonts w:hint="eastAsia"/>
          <w:color w:val="auto"/>
          <w:kern w:val="28"/>
          <w:sz w:val="32"/>
          <w:szCs w:val="32"/>
          <w:highlight w:val="none"/>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w:t>
      </w:r>
      <w:r>
        <w:rPr>
          <w:rFonts w:hint="eastAsia"/>
          <w:color w:val="auto"/>
          <w:kern w:val="28"/>
          <w:sz w:val="32"/>
          <w:szCs w:val="32"/>
          <w:highlight w:val="none"/>
          <w:lang w:eastAsia="zh-CN"/>
        </w:rPr>
        <w:t>，</w:t>
      </w:r>
      <w:r>
        <w:rPr>
          <w:rFonts w:hint="eastAsia"/>
          <w:color w:val="auto"/>
          <w:kern w:val="28"/>
          <w:sz w:val="32"/>
          <w:szCs w:val="32"/>
          <w:highlight w:val="none"/>
        </w:rPr>
        <w:t>规范了项目档案资料的整理</w:t>
      </w:r>
      <w:r>
        <w:rPr>
          <w:rFonts w:hint="eastAsia"/>
          <w:color w:val="auto"/>
          <w:kern w:val="28"/>
          <w:sz w:val="32"/>
          <w:szCs w:val="32"/>
          <w:highlight w:val="none"/>
          <w:lang w:eastAsia="zh-CN"/>
        </w:rPr>
        <w:t>，</w:t>
      </w:r>
      <w:r>
        <w:rPr>
          <w:rFonts w:hint="eastAsia"/>
          <w:color w:val="auto"/>
          <w:kern w:val="28"/>
          <w:sz w:val="32"/>
          <w:szCs w:val="32"/>
          <w:highlight w:val="none"/>
        </w:rPr>
        <w:t>项目的实施达到项目预期效果。</w:t>
      </w:r>
    </w:p>
    <w:p w14:paraId="6B5379CA">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（二）评价结论</w:t>
      </w:r>
    </w:p>
    <w:p w14:paraId="53ADF08C">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参照绩效评价组制定的评价指标体系以及财政部《项目支出绩效评价管理办法》（财预〔2020〕10号）、《医保转移支付绩效评价工作手册》的评分标准，通过数据采集、问卷调查等方式，对本项目进行客观评价，最终评分结果：总得分为100分，属于“优”。其中，项目决策类指标权重为23分，得分为23分，得分率为100%。项目过程类指标权重为20分，得分为20分，得分率为 100%。项目产出类指标权重为47分，得分为47分，得分率为 100%。项目效益类指标权重为10分，得分为10分，得分率为100%。具体打分情况详见：表1.综合评分表。</w:t>
      </w:r>
    </w:p>
    <w:p w14:paraId="4C0F946A">
      <w:pPr>
        <w:pStyle w:val="8"/>
        <w:spacing w:before="0" w:after="0"/>
        <w:outlineLvl w:val="9"/>
        <w:rPr>
          <w:rFonts w:ascii="Times New Roman" w:hAnsi="Times New Roman" w:eastAsia="仿宋_GB2312"/>
          <w:color w:val="auto"/>
          <w:sz w:val="30"/>
          <w:szCs w:val="30"/>
          <w:highlight w:val="none"/>
        </w:rPr>
      </w:pPr>
      <w:r>
        <w:rPr>
          <w:rFonts w:ascii="Times New Roman" w:hAnsi="Times New Roman" w:eastAsia="仿宋_GB2312"/>
          <w:color w:val="auto"/>
          <w:sz w:val="30"/>
          <w:szCs w:val="30"/>
          <w:highlight w:val="none"/>
        </w:rPr>
        <w:t>表1</w:t>
      </w:r>
      <w:r>
        <w:rPr>
          <w:rFonts w:hint="eastAsia" w:ascii="Times New Roman" w:hAnsi="Times New Roman" w:eastAsia="仿宋_GB2312"/>
          <w:color w:val="auto"/>
          <w:sz w:val="30"/>
          <w:szCs w:val="30"/>
          <w:highlight w:val="none"/>
        </w:rPr>
        <w:t>.</w:t>
      </w:r>
      <w:r>
        <w:rPr>
          <w:rFonts w:ascii="Times New Roman" w:hAnsi="Times New Roman" w:eastAsia="仿宋_GB2312"/>
          <w:color w:val="auto"/>
          <w:sz w:val="30"/>
          <w:szCs w:val="30"/>
          <w:highlight w:val="none"/>
        </w:rPr>
        <w:t>综合评分表</w:t>
      </w:r>
    </w:p>
    <w:tbl>
      <w:tblPr>
        <w:tblStyle w:val="9"/>
        <w:tblW w:w="7583" w:type="dxa"/>
        <w:jc w:val="center"/>
        <w:tblLayout w:type="fixed"/>
        <w:tblCellMar>
          <w:top w:w="0" w:type="dxa"/>
          <w:left w:w="108" w:type="dxa"/>
          <w:bottom w:w="0" w:type="dxa"/>
          <w:right w:w="108" w:type="dxa"/>
        </w:tblCellMar>
      </w:tblPr>
      <w:tblGrid>
        <w:gridCol w:w="3137"/>
        <w:gridCol w:w="2168"/>
        <w:gridCol w:w="2278"/>
      </w:tblGrid>
      <w:tr w14:paraId="150FC89A">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2B719C05">
            <w:pPr>
              <w:jc w:val="center"/>
              <w:rPr>
                <w:b/>
                <w:bCs/>
                <w:color w:val="auto"/>
                <w:sz w:val="22"/>
                <w:highlight w:val="none"/>
              </w:rPr>
            </w:pPr>
            <w:r>
              <w:rPr>
                <w:rFonts w:hint="eastAsia"/>
                <w:b/>
                <w:bCs/>
                <w:color w:val="auto"/>
                <w:sz w:val="22"/>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8C36C2A">
            <w:pPr>
              <w:jc w:val="center"/>
              <w:rPr>
                <w:b/>
                <w:bCs/>
                <w:color w:val="auto"/>
                <w:sz w:val="22"/>
                <w:highlight w:val="none"/>
              </w:rPr>
            </w:pPr>
            <w:r>
              <w:rPr>
                <w:rFonts w:hint="eastAsia"/>
                <w:b/>
                <w:bCs/>
                <w:color w:val="auto"/>
                <w:sz w:val="22"/>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3BB10534">
            <w:pPr>
              <w:jc w:val="center"/>
              <w:rPr>
                <w:b/>
                <w:bCs/>
                <w:color w:val="auto"/>
                <w:sz w:val="22"/>
                <w:highlight w:val="none"/>
              </w:rPr>
            </w:pPr>
            <w:r>
              <w:rPr>
                <w:rFonts w:hint="eastAsia"/>
                <w:b/>
                <w:bCs/>
                <w:color w:val="auto"/>
                <w:sz w:val="22"/>
                <w:highlight w:val="none"/>
              </w:rPr>
              <w:t>得分</w:t>
            </w:r>
          </w:p>
        </w:tc>
      </w:tr>
      <w:tr w14:paraId="08C0B16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A8FFD08">
            <w:pPr>
              <w:jc w:val="center"/>
              <w:rPr>
                <w:color w:val="auto"/>
                <w:sz w:val="22"/>
                <w:highlight w:val="none"/>
              </w:rPr>
            </w:pPr>
            <w:r>
              <w:rPr>
                <w:rFonts w:hint="eastAsia"/>
                <w:color w:val="auto"/>
                <w:sz w:val="22"/>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14:paraId="3C75BA7D">
            <w:pPr>
              <w:jc w:val="center"/>
              <w:rPr>
                <w:color w:val="auto"/>
                <w:sz w:val="22"/>
                <w:highlight w:val="none"/>
              </w:rPr>
            </w:pPr>
            <w:r>
              <w:rPr>
                <w:rFonts w:hint="eastAsia"/>
                <w:color w:val="auto"/>
                <w:sz w:val="22"/>
                <w:highlight w:val="none"/>
              </w:rPr>
              <w:t>23</w:t>
            </w:r>
          </w:p>
        </w:tc>
        <w:tc>
          <w:tcPr>
            <w:tcW w:w="2278" w:type="dxa"/>
            <w:tcBorders>
              <w:top w:val="nil"/>
              <w:left w:val="nil"/>
              <w:bottom w:val="single" w:color="auto" w:sz="4" w:space="0"/>
              <w:right w:val="single" w:color="auto" w:sz="4" w:space="0"/>
            </w:tcBorders>
            <w:shd w:val="clear" w:color="auto" w:fill="auto"/>
            <w:vAlign w:val="center"/>
          </w:tcPr>
          <w:p w14:paraId="60922846">
            <w:pPr>
              <w:jc w:val="center"/>
              <w:rPr>
                <w:color w:val="auto"/>
                <w:sz w:val="22"/>
                <w:highlight w:val="none"/>
              </w:rPr>
            </w:pPr>
            <w:r>
              <w:rPr>
                <w:rFonts w:hint="eastAsia"/>
                <w:color w:val="auto"/>
                <w:sz w:val="22"/>
                <w:highlight w:val="none"/>
              </w:rPr>
              <w:t>23</w:t>
            </w:r>
          </w:p>
        </w:tc>
      </w:tr>
      <w:tr w14:paraId="2B5271C3">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933EE59">
            <w:pPr>
              <w:jc w:val="center"/>
              <w:rPr>
                <w:color w:val="auto"/>
                <w:sz w:val="22"/>
                <w:highlight w:val="none"/>
              </w:rPr>
            </w:pPr>
            <w:r>
              <w:rPr>
                <w:rFonts w:hint="eastAsia"/>
                <w:color w:val="auto"/>
                <w:sz w:val="22"/>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14:paraId="29F3FB1B">
            <w:pPr>
              <w:jc w:val="center"/>
              <w:rPr>
                <w:color w:val="auto"/>
                <w:sz w:val="22"/>
                <w:highlight w:val="none"/>
              </w:rPr>
            </w:pPr>
            <w:r>
              <w:rPr>
                <w:rFonts w:hint="eastAsia"/>
                <w:color w:val="auto"/>
                <w:sz w:val="22"/>
                <w:highlight w:val="none"/>
              </w:rPr>
              <w:t>20</w:t>
            </w:r>
          </w:p>
        </w:tc>
        <w:tc>
          <w:tcPr>
            <w:tcW w:w="2278" w:type="dxa"/>
            <w:tcBorders>
              <w:top w:val="nil"/>
              <w:left w:val="nil"/>
              <w:bottom w:val="single" w:color="auto" w:sz="4" w:space="0"/>
              <w:right w:val="single" w:color="auto" w:sz="4" w:space="0"/>
            </w:tcBorders>
            <w:shd w:val="clear" w:color="auto" w:fill="auto"/>
            <w:vAlign w:val="center"/>
          </w:tcPr>
          <w:p w14:paraId="5ECE66DC">
            <w:pPr>
              <w:jc w:val="center"/>
              <w:rPr>
                <w:color w:val="auto"/>
                <w:sz w:val="22"/>
                <w:highlight w:val="none"/>
              </w:rPr>
            </w:pPr>
            <w:r>
              <w:rPr>
                <w:rFonts w:hint="eastAsia"/>
                <w:color w:val="auto"/>
                <w:sz w:val="22"/>
                <w:highlight w:val="none"/>
              </w:rPr>
              <w:t>20</w:t>
            </w:r>
          </w:p>
        </w:tc>
      </w:tr>
      <w:tr w14:paraId="0F158A3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81435CE">
            <w:pPr>
              <w:jc w:val="center"/>
              <w:rPr>
                <w:color w:val="auto"/>
                <w:sz w:val="22"/>
                <w:highlight w:val="none"/>
              </w:rPr>
            </w:pPr>
            <w:r>
              <w:rPr>
                <w:rFonts w:hint="eastAsia"/>
                <w:color w:val="auto"/>
                <w:sz w:val="22"/>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14:paraId="0AC33000">
            <w:pPr>
              <w:jc w:val="center"/>
              <w:rPr>
                <w:color w:val="auto"/>
                <w:sz w:val="22"/>
                <w:highlight w:val="none"/>
              </w:rPr>
            </w:pPr>
            <w:r>
              <w:rPr>
                <w:rFonts w:hint="eastAsia"/>
                <w:color w:val="auto"/>
                <w:sz w:val="22"/>
                <w:highlight w:val="none"/>
              </w:rPr>
              <w:t>47</w:t>
            </w:r>
          </w:p>
        </w:tc>
        <w:tc>
          <w:tcPr>
            <w:tcW w:w="2278" w:type="dxa"/>
            <w:tcBorders>
              <w:top w:val="nil"/>
              <w:left w:val="nil"/>
              <w:bottom w:val="single" w:color="auto" w:sz="4" w:space="0"/>
              <w:right w:val="single" w:color="auto" w:sz="4" w:space="0"/>
            </w:tcBorders>
            <w:shd w:val="clear" w:color="auto" w:fill="auto"/>
            <w:vAlign w:val="center"/>
          </w:tcPr>
          <w:p w14:paraId="7C32561D">
            <w:pPr>
              <w:jc w:val="center"/>
              <w:rPr>
                <w:color w:val="auto"/>
                <w:sz w:val="22"/>
                <w:highlight w:val="none"/>
              </w:rPr>
            </w:pPr>
            <w:r>
              <w:rPr>
                <w:rFonts w:hint="eastAsia"/>
                <w:color w:val="auto"/>
                <w:sz w:val="22"/>
                <w:highlight w:val="none"/>
              </w:rPr>
              <w:t>47</w:t>
            </w:r>
          </w:p>
        </w:tc>
      </w:tr>
      <w:tr w14:paraId="0ED789EA">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E61DFB2">
            <w:pPr>
              <w:jc w:val="center"/>
              <w:rPr>
                <w:color w:val="auto"/>
                <w:sz w:val="22"/>
                <w:highlight w:val="none"/>
              </w:rPr>
            </w:pPr>
            <w:r>
              <w:rPr>
                <w:rFonts w:hint="eastAsia"/>
                <w:color w:val="auto"/>
                <w:sz w:val="22"/>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14:paraId="0267199A">
            <w:pPr>
              <w:jc w:val="center"/>
              <w:rPr>
                <w:color w:val="auto"/>
                <w:sz w:val="22"/>
                <w:highlight w:val="none"/>
              </w:rPr>
            </w:pPr>
            <w:r>
              <w:rPr>
                <w:rFonts w:hint="eastAsia"/>
                <w:color w:val="auto"/>
                <w:sz w:val="22"/>
                <w:highlight w:val="none"/>
              </w:rPr>
              <w:t>10</w:t>
            </w:r>
          </w:p>
        </w:tc>
        <w:tc>
          <w:tcPr>
            <w:tcW w:w="2278" w:type="dxa"/>
            <w:tcBorders>
              <w:top w:val="nil"/>
              <w:left w:val="nil"/>
              <w:bottom w:val="single" w:color="auto" w:sz="4" w:space="0"/>
              <w:right w:val="single" w:color="auto" w:sz="4" w:space="0"/>
            </w:tcBorders>
            <w:shd w:val="clear" w:color="auto" w:fill="auto"/>
            <w:vAlign w:val="center"/>
          </w:tcPr>
          <w:p w14:paraId="589047AC">
            <w:pPr>
              <w:jc w:val="center"/>
              <w:rPr>
                <w:color w:val="auto"/>
                <w:sz w:val="22"/>
                <w:highlight w:val="none"/>
              </w:rPr>
            </w:pPr>
            <w:r>
              <w:rPr>
                <w:rFonts w:hint="eastAsia"/>
                <w:color w:val="auto"/>
                <w:sz w:val="22"/>
                <w:highlight w:val="none"/>
              </w:rPr>
              <w:t>10</w:t>
            </w:r>
          </w:p>
        </w:tc>
      </w:tr>
      <w:tr w14:paraId="3E1F5C3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54D555A">
            <w:pPr>
              <w:jc w:val="center"/>
              <w:rPr>
                <w:rFonts w:cs="宋体"/>
                <w:b/>
                <w:bCs/>
                <w:color w:val="auto"/>
                <w:sz w:val="22"/>
                <w:highlight w:val="none"/>
              </w:rPr>
            </w:pPr>
            <w:r>
              <w:rPr>
                <w:rFonts w:hint="eastAsia" w:cs="宋体"/>
                <w:b/>
                <w:bCs/>
                <w:color w:val="auto"/>
                <w:sz w:val="22"/>
                <w:highlight w:val="none"/>
              </w:rPr>
              <w:t>合计</w:t>
            </w:r>
          </w:p>
        </w:tc>
        <w:tc>
          <w:tcPr>
            <w:tcW w:w="2168" w:type="dxa"/>
            <w:tcBorders>
              <w:top w:val="nil"/>
              <w:left w:val="nil"/>
              <w:bottom w:val="single" w:color="auto" w:sz="4" w:space="0"/>
              <w:right w:val="single" w:color="auto" w:sz="4" w:space="0"/>
            </w:tcBorders>
            <w:shd w:val="clear" w:color="auto" w:fill="auto"/>
            <w:vAlign w:val="center"/>
          </w:tcPr>
          <w:p w14:paraId="5D26208E">
            <w:pPr>
              <w:jc w:val="center"/>
              <w:rPr>
                <w:b/>
                <w:bCs/>
                <w:color w:val="auto"/>
                <w:sz w:val="22"/>
                <w:highlight w:val="none"/>
              </w:rPr>
            </w:pPr>
            <w:r>
              <w:rPr>
                <w:rFonts w:hint="eastAsia"/>
                <w:b/>
                <w:bCs/>
                <w:color w:val="auto"/>
                <w:sz w:val="22"/>
                <w:highlight w:val="none"/>
              </w:rPr>
              <w:t>100</w:t>
            </w:r>
          </w:p>
        </w:tc>
        <w:tc>
          <w:tcPr>
            <w:tcW w:w="2278" w:type="dxa"/>
            <w:tcBorders>
              <w:top w:val="nil"/>
              <w:left w:val="nil"/>
              <w:bottom w:val="single" w:color="auto" w:sz="4" w:space="0"/>
              <w:right w:val="single" w:color="auto" w:sz="4" w:space="0"/>
            </w:tcBorders>
            <w:shd w:val="clear" w:color="auto" w:fill="auto"/>
            <w:vAlign w:val="center"/>
          </w:tcPr>
          <w:p w14:paraId="11A26A3F">
            <w:pPr>
              <w:jc w:val="center"/>
              <w:rPr>
                <w:b/>
                <w:bCs/>
                <w:color w:val="auto"/>
                <w:sz w:val="22"/>
                <w:highlight w:val="none"/>
              </w:rPr>
            </w:pPr>
            <w:r>
              <w:rPr>
                <w:rFonts w:hint="eastAsia"/>
                <w:b/>
                <w:bCs/>
                <w:color w:val="auto"/>
                <w:sz w:val="22"/>
                <w:highlight w:val="none"/>
              </w:rPr>
              <w:t>100</w:t>
            </w:r>
          </w:p>
        </w:tc>
      </w:tr>
    </w:tbl>
    <w:p w14:paraId="770FD05C">
      <w:pPr>
        <w:rPr>
          <w:rFonts w:ascii="仿宋_GB2312"/>
          <w:color w:val="auto"/>
          <w:sz w:val="21"/>
          <w:szCs w:val="18"/>
          <w:highlight w:val="none"/>
        </w:rPr>
      </w:pPr>
    </w:p>
    <w:p w14:paraId="25125768">
      <w:pPr>
        <w:spacing w:line="600" w:lineRule="exact"/>
        <w:ind w:firstLine="640" w:firstLineChars="200"/>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四、绩效评价指标分析</w:t>
      </w:r>
    </w:p>
    <w:p w14:paraId="6C8BC978">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（一）项目决策情况</w:t>
      </w:r>
    </w:p>
    <w:p w14:paraId="023A67E8">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项目决策类指标包括决策依据、决策过程</w:t>
      </w:r>
      <w:r>
        <w:rPr>
          <w:rFonts w:hint="eastAsia" w:ascii="Times New Roman" w:hAnsi="Times New Roman" w:eastAsia="仿宋_GB2312"/>
          <w:b w:val="0"/>
          <w:bCs w:val="0"/>
          <w:color w:val="auto"/>
          <w:highlight w:val="none"/>
          <w:lang w:eastAsia="zh-CN"/>
        </w:rPr>
        <w:t>、</w:t>
      </w:r>
      <w:r>
        <w:rPr>
          <w:rFonts w:hint="eastAsia" w:ascii="Times New Roman" w:hAnsi="Times New Roman" w:eastAsia="仿宋_GB2312"/>
          <w:b w:val="0"/>
          <w:bCs w:val="0"/>
          <w:color w:val="auto"/>
          <w:highlight w:val="none"/>
        </w:rPr>
        <w:t>绩效目标、资金分配等四方面的内容，由7个三级指标构成，权重分值为23分，实际得分23分，得分率为100%。</w:t>
      </w:r>
    </w:p>
    <w:p w14:paraId="1A54B215">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1.决策依据</w:t>
      </w:r>
    </w:p>
    <w:p w14:paraId="170C68FF">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（1）贯彻中央对医疗保障制度改革中有关城乡居民医保决策部署</w:t>
      </w:r>
    </w:p>
    <w:p w14:paraId="25B3836C">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lang w:eastAsia="zh-CN"/>
        </w:rPr>
      </w:pPr>
      <w:r>
        <w:rPr>
          <w:rFonts w:hint="eastAsia" w:ascii="Times New Roman" w:hAnsi="Times New Roman" w:eastAsia="仿宋_GB2312"/>
          <w:b w:val="0"/>
          <w:bCs w:val="0"/>
          <w:color w:val="auto"/>
          <w:highlight w:val="none"/>
        </w:rPr>
        <w:t>印发《自治区党委自治区人民政府关于深化自治区医疗保障制度改革的实施意见》（新党发〔2020〕20号），</w:t>
      </w:r>
      <w:r>
        <w:rPr>
          <w:rFonts w:hint="eastAsia" w:ascii="Times New Roman" w:hAnsi="Times New Roman" w:eastAsia="仿宋_GB2312"/>
          <w:b w:val="0"/>
          <w:bCs w:val="0"/>
          <w:color w:val="auto"/>
          <w:highlight w:val="none"/>
        </w:rPr>
        <w:t>出台《关于印发新疆维吾尔自治区医疗保障“十四五”规划的通知》（新政办发〔2021〕110号）</w:t>
      </w:r>
      <w:r>
        <w:rPr>
          <w:rFonts w:hint="eastAsia" w:ascii="Times New Roman" w:hAnsi="Times New Roman" w:eastAsia="仿宋_GB2312"/>
          <w:b w:val="0"/>
          <w:bCs w:val="0"/>
          <w:color w:val="auto"/>
          <w:highlight w:val="none"/>
        </w:rPr>
        <w:t>，印发《关于推进医疗保障基金监管制度体系改革的实施意见》（新政办发〔2021〕1号）、</w:t>
      </w:r>
      <w:r>
        <w:rPr>
          <w:rFonts w:hint="eastAsia" w:ascii="Times New Roman" w:hAnsi="Times New Roman" w:eastAsia="仿宋_GB2312"/>
          <w:b w:val="0"/>
          <w:bCs w:val="0"/>
          <w:color w:val="auto"/>
          <w:highlight w:val="none"/>
        </w:rPr>
        <w:t>关于转发《国家医保局 财政部 国家税务总局关于做好2025年城乡居民基本医疗保障有关工作》的通知</w:t>
      </w:r>
      <w:r>
        <w:rPr>
          <w:rFonts w:hint="eastAsia" w:ascii="Times New Roman" w:hAnsi="Times New Roman" w:eastAsia="仿宋_GB2312"/>
          <w:b w:val="0"/>
          <w:bCs w:val="0"/>
          <w:color w:val="auto"/>
          <w:highlight w:val="none"/>
          <w:lang w:eastAsia="zh-CN"/>
        </w:rPr>
        <w:t>（新医保发〔2025〕45号）</w:t>
      </w:r>
      <w:r>
        <w:rPr>
          <w:rFonts w:hint="eastAsia" w:ascii="Times New Roman" w:hAnsi="Times New Roman" w:eastAsia="仿宋_GB2312"/>
          <w:b w:val="0"/>
          <w:bCs w:val="0"/>
          <w:color w:val="auto"/>
          <w:highlight w:val="none"/>
        </w:rPr>
        <w:t>，明确部门分工和职责任务，推进规划各项目标任务落地应用和顺利实施。在城乡居民医疗保障方面作出的决定和出台的文件，符合《中共中央 国务院关于深化医疗保障制度改革的意见》要求</w:t>
      </w:r>
      <w:r>
        <w:rPr>
          <w:rFonts w:hint="eastAsia" w:ascii="Times New Roman" w:hAnsi="Times New Roman" w:eastAsia="仿宋_GB2312"/>
          <w:b w:val="0"/>
          <w:bCs w:val="0"/>
          <w:color w:val="auto"/>
          <w:highlight w:val="none"/>
          <w:lang w:eastAsia="zh-CN"/>
        </w:rPr>
        <w:t>。</w:t>
      </w:r>
    </w:p>
    <w:p w14:paraId="6FFED0D7">
      <w:pPr>
        <w:pStyle w:val="8"/>
        <w:widowControl w:val="0"/>
        <w:numPr>
          <w:ilvl w:val="0"/>
          <w:numId w:val="3"/>
        </w:numPr>
        <w:spacing w:before="0" w:after="0" w:line="560" w:lineRule="exact"/>
        <w:ind w:firstLine="640" w:firstLineChars="200"/>
        <w:jc w:val="both"/>
        <w:outlineLvl w:val="9"/>
        <w:rPr>
          <w:rFonts w:hint="eastAsia" w:ascii="Times New Roman" w:hAnsi="Times New Roman" w:eastAsia="仿宋_GB2312"/>
          <w:b w:val="0"/>
          <w:bCs w:val="0"/>
          <w:color w:val="auto"/>
          <w:highlight w:val="none"/>
          <w:lang w:eastAsia="zh-CN"/>
        </w:rPr>
      </w:pPr>
      <w:r>
        <w:rPr>
          <w:rFonts w:hint="eastAsia" w:ascii="Times New Roman" w:hAnsi="Times New Roman" w:eastAsia="仿宋_GB2312"/>
          <w:b w:val="0"/>
          <w:bCs w:val="0"/>
          <w:color w:val="auto"/>
          <w:highlight w:val="none"/>
          <w:lang w:eastAsia="zh-CN"/>
        </w:rPr>
        <w:t>执行预算绩效管理和资金管理办法</w:t>
      </w:r>
    </w:p>
    <w:p w14:paraId="0CF2D937">
      <w:pPr>
        <w:pStyle w:val="8"/>
        <w:widowControl w:val="0"/>
        <w:spacing w:before="0" w:after="0" w:line="560" w:lineRule="exact"/>
        <w:ind w:firstLine="640" w:firstLineChars="200"/>
        <w:jc w:val="both"/>
        <w:outlineLvl w:val="9"/>
        <w:rPr>
          <w:rFonts w:hint="default" w:ascii="Times New Roman" w:hAnsi="Times New Roman" w:eastAsia="仿宋_GB2312"/>
          <w:b w:val="0"/>
          <w:bCs w:val="0"/>
          <w:color w:val="auto"/>
          <w:highlight w:val="none"/>
          <w:lang w:val="en-US" w:eastAsia="zh-CN"/>
        </w:rPr>
      </w:pPr>
      <w:r>
        <w:rPr>
          <w:rFonts w:hint="eastAsia" w:ascii="Times New Roman" w:hAnsi="Times New Roman" w:eastAsia="仿宋_GB2312"/>
          <w:b w:val="0"/>
          <w:bCs w:val="0"/>
          <w:color w:val="auto"/>
          <w:highlight w:val="none"/>
          <w:lang w:val="en-US" w:eastAsia="zh-CN"/>
        </w:rPr>
        <w:t>严格按照</w:t>
      </w:r>
      <w:r>
        <w:rPr>
          <w:rFonts w:hint="eastAsia" w:ascii="Times New Roman" w:hAnsi="Times New Roman" w:eastAsia="仿宋_GB2312"/>
          <w:b w:val="0"/>
          <w:bCs w:val="0"/>
          <w:color w:val="auto"/>
          <w:highlight w:val="none"/>
          <w:lang w:eastAsia="zh-CN"/>
        </w:rPr>
        <w:t>《国家医疗保障局关于全面实施预算绩效管理的意见》《中央财政城乡居民基本医疗保险补助资金管理办法》</w:t>
      </w:r>
      <w:r>
        <w:rPr>
          <w:rFonts w:hint="eastAsia" w:ascii="Times New Roman" w:hAnsi="Times New Roman" w:eastAsia="仿宋_GB2312"/>
          <w:b w:val="0"/>
          <w:bCs w:val="0"/>
          <w:color w:val="auto"/>
          <w:highlight w:val="none"/>
          <w:lang w:val="en-US" w:eastAsia="zh-CN"/>
        </w:rPr>
        <w:t>等要求，全面实施预算绩效管理，构建全方位、全过</w:t>
      </w:r>
      <w:bookmarkStart w:id="0" w:name="_GoBack"/>
      <w:bookmarkEnd w:id="0"/>
      <w:r>
        <w:rPr>
          <w:rFonts w:hint="eastAsia" w:ascii="Times New Roman" w:hAnsi="Times New Roman" w:eastAsia="仿宋_GB2312"/>
          <w:b w:val="0"/>
          <w:bCs w:val="0"/>
          <w:color w:val="auto"/>
          <w:highlight w:val="none"/>
          <w:lang w:val="en-US" w:eastAsia="zh-CN"/>
        </w:rPr>
        <w:t>程、全覆盖的医保预算绩效管理体系，通过规范化、精细化、科学化的绩效管理，推动医保资金从“重分配、轻管理”向“重效益、重实效”转变，确保每一笔医保资金都用在刀刃上。明确资金的分配原则、拨付流程、使用范围、监督检查等要求，强调资金使用的合规性、安全性和有效性，确保城乡医保医保补助资金规范运行。</w:t>
      </w:r>
    </w:p>
    <w:p w14:paraId="54C86C83">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2.决策过程</w:t>
      </w:r>
    </w:p>
    <w:p w14:paraId="72D0E025">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（1）决策程序规范</w:t>
      </w:r>
    </w:p>
    <w:p w14:paraId="5771309F">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资金分配按规定履行报批程序，审批文件和手续齐全。自治区医保局按照国家及自治区城乡居民医保资金管理相关要求，根据城乡居民参保人数和人均补助标准，拟定资金分配方案，经局党组会集体研究，按规定程序报批，报经自治区财政厅审定。通过后，按规定流程及时下达。城乡居民医保财政补助资金分配方案报批程序、批准文件和手续齐全。</w:t>
      </w:r>
    </w:p>
    <w:p w14:paraId="3294B080">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3.绩效目标</w:t>
      </w:r>
    </w:p>
    <w:p w14:paraId="407CDD64">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（1）绩效目标设置科学</w:t>
      </w:r>
    </w:p>
    <w:p w14:paraId="2E4C6A43">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遵照财政部和国家医疗保障局下达的年度总体目标和具体绩效指标，设置绩效目标，体现“巩固参保率、稳步提高保障水平、实现基金收支平衡”等年度总体目标的基本要素，明确产出指标、成本指标、满意度指标等绩效指标要求，绩效目标设置科学。</w:t>
      </w:r>
    </w:p>
    <w:p w14:paraId="21A4913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（2）绩效目标分解细化</w:t>
      </w:r>
    </w:p>
    <w:p w14:paraId="64F9BC81">
      <w:pPr>
        <w:pStyle w:val="8"/>
        <w:widowControl w:val="0"/>
        <w:spacing w:before="0" w:after="0" w:line="560" w:lineRule="exact"/>
        <w:ind w:firstLine="640" w:firstLineChars="200"/>
        <w:jc w:val="both"/>
        <w:outlineLvl w:val="9"/>
        <w:rPr>
          <w:color w:val="auto"/>
          <w:highlight w:val="none"/>
        </w:rPr>
      </w:pPr>
      <w:r>
        <w:rPr>
          <w:rFonts w:hint="eastAsia" w:ascii="Times New Roman" w:hAnsi="Times New Roman" w:eastAsia="仿宋_GB2312"/>
          <w:b w:val="0"/>
          <w:bCs w:val="0"/>
          <w:color w:val="auto"/>
          <w:highlight w:val="none"/>
        </w:rPr>
        <w:t>对照财政部和国家医疗保障局下达的年度总体目标结合实际进行分解细化绩效目标，该项目绩效目标细分为</w:t>
      </w:r>
      <w:r>
        <w:rPr>
          <w:rFonts w:hint="eastAsia" w:ascii="Times New Roman" w:hAnsi="Times New Roman" w:eastAsia="仿宋_GB2312"/>
          <w:b w:val="0"/>
          <w:bCs w:val="0"/>
          <w:color w:val="auto"/>
          <w:highlight w:val="none"/>
          <w:lang w:val="en-US" w:eastAsia="zh-CN"/>
        </w:rPr>
        <w:t>7</w:t>
      </w:r>
      <w:r>
        <w:rPr>
          <w:rFonts w:hint="eastAsia" w:ascii="Times New Roman" w:hAnsi="Times New Roman" w:eastAsia="仿宋_GB2312"/>
          <w:b w:val="0"/>
          <w:bCs w:val="0"/>
          <w:color w:val="auto"/>
          <w:highlight w:val="none"/>
        </w:rPr>
        <w:t>个三级指标。</w:t>
      </w:r>
    </w:p>
    <w:p w14:paraId="06044498">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4.资金分配</w:t>
      </w:r>
    </w:p>
    <w:p w14:paraId="478EF1F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（1）资金分配规范性</w:t>
      </w:r>
    </w:p>
    <w:p w14:paraId="5B321A70">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自治区医保局收到中央财政转移支付资金预算后，按照财政部和国家医保局下达的文件要求，制定分配方案报送自治区财政厅下达各地市。两批中央财政转移支付资金预算均在30日内下达。中央及地方财政补助资金，</w:t>
      </w:r>
      <w:r>
        <w:rPr>
          <w:rFonts w:hint="eastAsia" w:ascii="Times New Roman" w:hAnsi="Times New Roman" w:eastAsia="仿宋_GB2312"/>
          <w:b w:val="0"/>
          <w:bCs w:val="0"/>
          <w:color w:val="auto"/>
          <w:highlight w:val="none"/>
        </w:rPr>
        <w:t>在</w:t>
      </w:r>
      <w:r>
        <w:rPr>
          <w:rFonts w:hint="eastAsia" w:ascii="Times New Roman" w:hAnsi="Times New Roman" w:eastAsia="仿宋_GB2312"/>
          <w:b w:val="0"/>
          <w:bCs w:val="0"/>
          <w:color w:val="auto"/>
          <w:highlight w:val="none"/>
          <w:lang w:val="en-US" w:eastAsia="zh-CN"/>
        </w:rPr>
        <w:t>2025年</w:t>
      </w:r>
      <w:r>
        <w:rPr>
          <w:rFonts w:hint="eastAsia" w:ascii="Times New Roman" w:hAnsi="Times New Roman" w:eastAsia="仿宋_GB2312"/>
          <w:b w:val="0"/>
          <w:bCs w:val="0"/>
          <w:color w:val="auto"/>
          <w:highlight w:val="none"/>
        </w:rPr>
        <w:t>12月底之前全部支付至统筹地区医保基金财政专户。</w:t>
      </w:r>
    </w:p>
    <w:p w14:paraId="3B772AAB">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（2）资金分配</w:t>
      </w:r>
      <w:r>
        <w:rPr>
          <w:rFonts w:hint="eastAsia" w:ascii="Times New Roman" w:hAnsi="Times New Roman" w:eastAsia="仿宋_GB2312"/>
          <w:b w:val="0"/>
          <w:bCs w:val="0"/>
          <w:color w:val="auto"/>
          <w:highlight w:val="none"/>
          <w:lang w:val="en-US" w:eastAsia="zh-CN"/>
        </w:rPr>
        <w:t>合理</w:t>
      </w:r>
      <w:r>
        <w:rPr>
          <w:rFonts w:hint="eastAsia" w:ascii="Times New Roman" w:hAnsi="Times New Roman" w:eastAsia="仿宋_GB2312"/>
          <w:b w:val="0"/>
          <w:bCs w:val="0"/>
          <w:color w:val="auto"/>
          <w:highlight w:val="none"/>
        </w:rPr>
        <w:t>性</w:t>
      </w:r>
    </w:p>
    <w:p w14:paraId="75116A2A">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ascii="Times New Roman" w:hAnsi="Times New Roman" w:eastAsia="仿宋_GB2312"/>
          <w:b w:val="0"/>
          <w:bCs w:val="0"/>
          <w:color w:val="auto"/>
          <w:highlight w:val="none"/>
        </w:rPr>
        <w:t>根据《财政部 国家医保局关于修订〈中央财政城乡居民基本医疗保险补助资金管理办法〉的通知》（财社〔2022〕1号）、《关于进一步明确阿克苏地区阿瓦提县、乌什县、柯坪县纳入南疆财政补助政策范围的通知》（新财预〔2016〕99号），</w:t>
      </w:r>
      <w:r>
        <w:rPr>
          <w:rFonts w:hint="eastAsia" w:ascii="Times New Roman" w:hAnsi="Times New Roman" w:eastAsia="仿宋_GB2312"/>
          <w:b w:val="0"/>
          <w:bCs w:val="0"/>
          <w:color w:val="auto"/>
          <w:highlight w:val="none"/>
        </w:rPr>
        <w:t>采用</w:t>
      </w:r>
      <w:r>
        <w:rPr>
          <w:rFonts w:ascii="Times New Roman" w:hAnsi="Times New Roman" w:eastAsia="仿宋_GB2312"/>
          <w:b w:val="0"/>
          <w:bCs w:val="0"/>
          <w:color w:val="auto"/>
          <w:highlight w:val="none"/>
        </w:rPr>
        <w:t>“当年预拨+次年据实结算”的办法，按照因素分配法，分解至各统筹地区。资金分配方案符合财政部和国家医疗保障局下达的文件要求，分配方法、支出内容符合自治区制定的城乡居民基本医疗保险补助资金管理办法。</w:t>
      </w:r>
    </w:p>
    <w:p w14:paraId="3147BCFA">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（二）项目过程情况</w:t>
      </w:r>
    </w:p>
    <w:p w14:paraId="06E53BF3">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项目过程类指标包括资金管理、组织管理等两方面的内容，由4个三级指标构成，权重分值为20分，实际得分20分，得分率为100%。</w:t>
      </w:r>
    </w:p>
    <w:p w14:paraId="43754B1A">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1.资金管理</w:t>
      </w:r>
    </w:p>
    <w:p w14:paraId="2B85CCEB">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（1）基金使用合规性</w:t>
      </w:r>
    </w:p>
    <w:p w14:paraId="3F3C250A">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自治区严格落实中央财政城乡居民基本医疗保险补助资金管理办法，城乡居民医保基金执行国家统一的基金财务制度、会计制度和预决算管理制度，纳入各级财政社会保障基金财政专户，专款专用，实行“收支两条线”管理。</w:t>
      </w:r>
    </w:p>
    <w:p w14:paraId="7AA57CF8">
      <w:pPr>
        <w:pStyle w:val="8"/>
        <w:widowControl w:val="0"/>
        <w:numPr>
          <w:ilvl w:val="0"/>
          <w:numId w:val="4"/>
        </w:numPr>
        <w:spacing w:before="0" w:after="0" w:line="560" w:lineRule="exact"/>
        <w:ind w:firstLine="64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基金监管有效性</w:t>
      </w:r>
    </w:p>
    <w:p w14:paraId="25B58DB9">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lang w:eastAsia="zh-CN"/>
        </w:rPr>
      </w:pPr>
      <w:r>
        <w:rPr>
          <w:rFonts w:hint="eastAsia" w:ascii="Times New Roman" w:hAnsi="Times New Roman" w:eastAsia="仿宋_GB2312"/>
          <w:b w:val="0"/>
          <w:bCs w:val="0"/>
          <w:color w:val="auto"/>
          <w:highlight w:val="none"/>
          <w:lang w:eastAsia="zh-CN"/>
        </w:rPr>
        <w:t>一是扎实开展医保基金管理突出问题专项整治，坚持日常检查与“小切口”专项检查、自查自纠与抽查复查、数据筛查与飞行检查、社会监督与宣传发动、部门联动与协同治理“五个相结合”，通过集中处罚一批、暂停一批、解除一批、曝光一批“四个一批”，持续保持打击欺诈骗保高压态势。2025年，事前提醒近千万次，事中拦截违规基金1716万元，事后通过自查追回医保基金5亿余元。二是完善社会监督机制，将举报奖励上限提高至20万元并设立二次奖励，已累计奖励举报人9例共3.1万元，聘任社会监督员60人。三是持续健全信用管理体系，出台信用管理办法及评价细则，2025年在4个地州开展试点，将信用评价结果与监管频次、资金拨付等挂钩。推行“驾照式记分”管理，实现“监管到人、处罚到人”，强化监管震慑力。四是开展药品“追溯码”应用监管。今年以来，已累计归集药品追溯码6.34亿条，为彻底打击倒卖、串换、药品回流等骗取医保基金的顽瘴痼疾提供系统支撑。</w:t>
      </w:r>
    </w:p>
    <w:p w14:paraId="3988D8A8">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2.组织管理</w:t>
      </w:r>
    </w:p>
    <w:p w14:paraId="68BF06BB">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（1）医保统计、基金报表准确性、及时性、完整性</w:t>
      </w:r>
    </w:p>
    <w:p w14:paraId="65FB8E8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按照《社会保险基金会计制度》《国家医疗保障统计调查制度》按时、完整上报医疗保障统计报表、基金报表。报表不存在虚报、瞒报、误报等现象。</w:t>
      </w:r>
    </w:p>
    <w:p w14:paraId="2285F0AB">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（2）绩效评价机制健全性</w:t>
      </w:r>
    </w:p>
    <w:p w14:paraId="6F6FEE06">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绩效运行监控有力，严格落实上级部分预算绩效管理要求，对城乡居民医保自治区财政补助资金项目进行5月、8月两轮绩效监控，实行预算执行进度与绩效目标实现程度“双监控”，发现问题，及时整改，绩效运行监控有力。按时开展该项目绩效评价工作，撰写绩效评价报告，报告规范完整，并及时上报。</w:t>
      </w:r>
    </w:p>
    <w:p w14:paraId="5657B3F1">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（三）项目产出情况</w:t>
      </w:r>
    </w:p>
    <w:p w14:paraId="3F5DD12A">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项目产出类指标包括产出数量、产出质量、产出时效、产出成本等四方面的内容，由</w:t>
      </w:r>
      <w:r>
        <w:rPr>
          <w:rFonts w:hint="eastAsia" w:ascii="Times New Roman" w:hAnsi="Times New Roman" w:eastAsia="仿宋_GB2312"/>
          <w:b w:val="0"/>
          <w:bCs w:val="0"/>
          <w:color w:val="auto"/>
          <w:highlight w:val="none"/>
          <w:lang w:val="en-US" w:eastAsia="zh-CN"/>
        </w:rPr>
        <w:t>6</w:t>
      </w:r>
      <w:r>
        <w:rPr>
          <w:rFonts w:hint="eastAsia" w:ascii="Times New Roman" w:hAnsi="Times New Roman" w:eastAsia="仿宋_GB2312"/>
          <w:b w:val="0"/>
          <w:bCs w:val="0"/>
          <w:color w:val="auto"/>
          <w:highlight w:val="none"/>
        </w:rPr>
        <w:t>个三级指标构成，权重分值为47分，实际得分47分，得分率为100%。</w:t>
      </w:r>
    </w:p>
    <w:p w14:paraId="0FDA989F">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1.数量指标</w:t>
      </w:r>
    </w:p>
    <w:p w14:paraId="5EC5DB65">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（1）基本医疗保险参保人数指标，指标值大于等于</w:t>
      </w:r>
      <w:r>
        <w:rPr>
          <w:rFonts w:hint="eastAsia" w:ascii="Times New Roman" w:hAnsi="Times New Roman" w:eastAsia="仿宋_GB2312"/>
          <w:b w:val="0"/>
          <w:bCs w:val="0"/>
          <w:color w:val="auto"/>
          <w:highlight w:val="none"/>
          <w:lang w:val="en-US" w:eastAsia="zh-CN"/>
        </w:rPr>
        <w:t>2086</w:t>
      </w:r>
      <w:r>
        <w:rPr>
          <w:rFonts w:hint="eastAsia" w:ascii="Times New Roman" w:hAnsi="Times New Roman" w:eastAsia="仿宋_GB2312"/>
          <w:b w:val="0"/>
          <w:bCs w:val="0"/>
          <w:color w:val="auto"/>
          <w:highlight w:val="none"/>
        </w:rPr>
        <w:t>万人，指标完成值为2103.98万人，完成率100.</w:t>
      </w:r>
      <w:r>
        <w:rPr>
          <w:rFonts w:hint="eastAsia" w:ascii="Times New Roman" w:hAnsi="Times New Roman" w:eastAsia="仿宋_GB2312"/>
          <w:b w:val="0"/>
          <w:bCs w:val="0"/>
          <w:color w:val="auto"/>
          <w:highlight w:val="none"/>
          <w:lang w:val="en-US" w:eastAsia="zh-CN"/>
        </w:rPr>
        <w:t>86</w:t>
      </w:r>
      <w:r>
        <w:rPr>
          <w:rFonts w:hint="eastAsia" w:ascii="Times New Roman" w:hAnsi="Times New Roman" w:eastAsia="仿宋_GB2312"/>
          <w:b w:val="0"/>
          <w:bCs w:val="0"/>
          <w:color w:val="auto"/>
          <w:highlight w:val="none"/>
        </w:rPr>
        <w:t>%。偏差率0.</w:t>
      </w:r>
      <w:r>
        <w:rPr>
          <w:rFonts w:hint="eastAsia" w:ascii="Times New Roman" w:hAnsi="Times New Roman" w:eastAsia="仿宋_GB2312"/>
          <w:b w:val="0"/>
          <w:bCs w:val="0"/>
          <w:color w:val="auto"/>
          <w:highlight w:val="none"/>
          <w:lang w:val="en-US" w:eastAsia="zh-CN"/>
        </w:rPr>
        <w:t>86</w:t>
      </w:r>
      <w:r>
        <w:rPr>
          <w:rFonts w:hint="eastAsia" w:ascii="Times New Roman" w:hAnsi="Times New Roman" w:eastAsia="仿宋_GB2312"/>
          <w:b w:val="0"/>
          <w:bCs w:val="0"/>
          <w:color w:val="auto"/>
          <w:highlight w:val="none"/>
        </w:rPr>
        <w:t>%。偏差原因：参保人数为动态变化数据，</w:t>
      </w:r>
      <w:r>
        <w:rPr>
          <w:rFonts w:hint="eastAsia" w:ascii="Times New Roman" w:hAnsi="Times New Roman" w:eastAsia="仿宋_GB2312"/>
          <w:b w:val="0"/>
          <w:bCs w:val="0"/>
          <w:color w:val="auto"/>
          <w:highlight w:val="none"/>
          <w:lang w:eastAsia="zh-CN"/>
        </w:rPr>
        <w:t>2025</w:t>
      </w:r>
      <w:r>
        <w:rPr>
          <w:rFonts w:hint="eastAsia" w:ascii="Times New Roman" w:hAnsi="Times New Roman" w:eastAsia="仿宋_GB2312"/>
          <w:b w:val="0"/>
          <w:bCs w:val="0"/>
          <w:color w:val="auto"/>
          <w:highlight w:val="none"/>
        </w:rPr>
        <w:t>年全民参保人数有序增加，参保人数扩面，指标完成值与目标值存在微小偏差。改进措施：今后多考虑参保人数变动因素，进一步强化绩效目标设置的精准性。</w:t>
      </w:r>
    </w:p>
    <w:p w14:paraId="77640557">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2.质量指标</w:t>
      </w:r>
    </w:p>
    <w:p w14:paraId="0EACFD55">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lang w:val="en-US" w:eastAsia="zh-CN"/>
        </w:rPr>
        <w:t>1</w:t>
      </w:r>
      <w:r>
        <w:rPr>
          <w:rFonts w:hint="eastAsia"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申请结算补助资金时多报、虚报参保人数指标，指标值等于0人</w:t>
      </w:r>
      <w:r>
        <w:rPr>
          <w:rFonts w:hint="eastAsia" w:ascii="Times New Roman" w:hAnsi="Times New Roman" w:eastAsia="仿宋_GB2312"/>
          <w:b w:val="0"/>
          <w:bCs w:val="0"/>
          <w:color w:val="auto"/>
          <w:highlight w:val="none"/>
        </w:rPr>
        <w:t>，指标完成值为0人，完成率100%。偏差率0%。</w:t>
      </w:r>
    </w:p>
    <w:p w14:paraId="6B84D0DF">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lang w:val="en-US" w:eastAsia="zh-CN"/>
        </w:rPr>
        <w:t>2</w:t>
      </w:r>
      <w:r>
        <w:rPr>
          <w:rFonts w:hint="eastAsia"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参保人政策范围内住院费用报销比例指标，大于等于7</w:t>
      </w:r>
      <w:r>
        <w:rPr>
          <w:rFonts w:hint="eastAsia" w:ascii="Times New Roman" w:hAnsi="Times New Roman" w:eastAsia="仿宋_GB2312"/>
          <w:b w:val="0"/>
          <w:bCs w:val="0"/>
          <w:color w:val="auto"/>
          <w:highlight w:val="none"/>
          <w:lang w:val="en-US" w:eastAsia="zh-CN"/>
        </w:rPr>
        <w:t>5</w:t>
      </w:r>
      <w:r>
        <w:rPr>
          <w:rFonts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指标完成值为</w:t>
      </w:r>
      <w:r>
        <w:rPr>
          <w:rFonts w:hint="eastAsia" w:ascii="Times New Roman" w:hAnsi="Times New Roman" w:eastAsia="仿宋_GB2312"/>
          <w:b w:val="0"/>
          <w:bCs w:val="0"/>
          <w:color w:val="auto"/>
          <w:highlight w:val="none"/>
        </w:rPr>
        <w:t>7</w:t>
      </w:r>
      <w:r>
        <w:rPr>
          <w:rFonts w:hint="eastAsia" w:ascii="Times New Roman" w:hAnsi="Times New Roman" w:eastAsia="仿宋_GB2312"/>
          <w:b w:val="0"/>
          <w:bCs w:val="0"/>
          <w:color w:val="auto"/>
          <w:highlight w:val="none"/>
          <w:lang w:val="en-US" w:eastAsia="zh-CN"/>
        </w:rPr>
        <w:t>0.86</w:t>
      </w:r>
      <w:r>
        <w:rPr>
          <w:rFonts w:hint="eastAsia"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，完成率</w:t>
      </w:r>
      <w:r>
        <w:rPr>
          <w:rFonts w:hint="eastAsia" w:ascii="Times New Roman" w:hAnsi="Times New Roman" w:eastAsia="仿宋_GB2312"/>
          <w:b w:val="0"/>
          <w:bCs w:val="0"/>
          <w:color w:val="auto"/>
          <w:highlight w:val="none"/>
          <w:lang w:val="en-US" w:eastAsia="zh-CN"/>
        </w:rPr>
        <w:t>94.48</w:t>
      </w:r>
      <w:r>
        <w:rPr>
          <w:rFonts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rPr>
        <w:t>偏差率</w:t>
      </w:r>
      <w:r>
        <w:rPr>
          <w:rFonts w:hint="eastAsia" w:ascii="Times New Roman" w:hAnsi="Times New Roman" w:eastAsia="仿宋_GB2312"/>
          <w:b w:val="0"/>
          <w:bCs w:val="0"/>
          <w:color w:val="auto"/>
          <w:highlight w:val="none"/>
          <w:lang w:val="en-US" w:eastAsia="zh-CN"/>
        </w:rPr>
        <w:t>5.52</w:t>
      </w:r>
      <w:r>
        <w:rPr>
          <w:rFonts w:hint="eastAsia" w:ascii="Times New Roman" w:hAnsi="Times New Roman" w:eastAsia="仿宋_GB2312"/>
          <w:b w:val="0"/>
          <w:bCs w:val="0"/>
          <w:color w:val="auto"/>
          <w:highlight w:val="none"/>
        </w:rPr>
        <w:t>%。偏差原因：2025年政策调整、基金管理及医保支付方式改革多因素影响参保人政策范围内住院费用报销比例，完成值未达目标值。改进措施：今后结合项目实际开展情况和政策调整，及时调整绩效目标，增强目标设置精准性。</w:t>
      </w:r>
    </w:p>
    <w:p w14:paraId="6CBBD304">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w:t>
      </w:r>
      <w:r>
        <w:rPr>
          <w:rFonts w:hint="eastAsia" w:ascii="Times New Roman" w:hAnsi="Times New Roman" w:eastAsia="仿宋_GB2312"/>
          <w:b w:val="0"/>
          <w:bCs w:val="0"/>
          <w:color w:val="auto"/>
          <w:highlight w:val="none"/>
          <w:lang w:val="en-US" w:eastAsia="zh-CN"/>
        </w:rPr>
        <w:t>3</w:t>
      </w:r>
      <w:r>
        <w:rPr>
          <w:rFonts w:hint="eastAsia" w:ascii="Times New Roman" w:hAnsi="Times New Roman" w:eastAsia="仿宋_GB2312"/>
          <w:b w:val="0"/>
          <w:bCs w:val="0"/>
          <w:color w:val="auto"/>
          <w:highlight w:val="none"/>
        </w:rPr>
        <w:t>）</w:t>
      </w:r>
      <w:r>
        <w:rPr>
          <w:rFonts w:ascii="Times New Roman" w:hAnsi="Times New Roman" w:eastAsia="仿宋_GB2312"/>
          <w:b w:val="0"/>
          <w:bCs w:val="0"/>
          <w:color w:val="auto"/>
          <w:highlight w:val="none"/>
        </w:rPr>
        <w:t>基金滚存结余可支配月数指标，指标值大于等于9个月</w:t>
      </w:r>
      <w:r>
        <w:rPr>
          <w:rFonts w:hint="eastAsia" w:ascii="Times New Roman" w:hAnsi="Times New Roman" w:eastAsia="仿宋_GB2312"/>
          <w:b w:val="0"/>
          <w:bCs w:val="0"/>
          <w:color w:val="auto"/>
          <w:highlight w:val="none"/>
        </w:rPr>
        <w:t>，指标完成值为1</w:t>
      </w:r>
      <w:r>
        <w:rPr>
          <w:rFonts w:hint="eastAsia" w:ascii="Times New Roman" w:hAnsi="Times New Roman" w:eastAsia="仿宋_GB2312"/>
          <w:b w:val="0"/>
          <w:bCs w:val="0"/>
          <w:color w:val="auto"/>
          <w:highlight w:val="none"/>
          <w:lang w:val="en-US" w:eastAsia="zh-CN"/>
        </w:rPr>
        <w:t>1</w:t>
      </w:r>
      <w:r>
        <w:rPr>
          <w:rFonts w:hint="eastAsia" w:ascii="Times New Roman" w:hAnsi="Times New Roman" w:eastAsia="仿宋_GB2312"/>
          <w:b w:val="0"/>
          <w:bCs w:val="0"/>
          <w:color w:val="auto"/>
          <w:highlight w:val="none"/>
        </w:rPr>
        <w:t>个月，完成率</w:t>
      </w:r>
      <w:r>
        <w:rPr>
          <w:rFonts w:hint="eastAsia" w:ascii="Times New Roman" w:hAnsi="Times New Roman" w:eastAsia="仿宋_GB2312"/>
          <w:b w:val="0"/>
          <w:bCs w:val="0"/>
          <w:color w:val="auto"/>
          <w:highlight w:val="none"/>
          <w:lang w:val="en-US" w:eastAsia="zh-CN"/>
        </w:rPr>
        <w:t>122.22</w:t>
      </w:r>
      <w:r>
        <w:rPr>
          <w:rFonts w:hint="eastAsia" w:ascii="Times New Roman" w:hAnsi="Times New Roman" w:eastAsia="仿宋_GB2312"/>
          <w:b w:val="0"/>
          <w:bCs w:val="0"/>
          <w:color w:val="auto"/>
          <w:highlight w:val="none"/>
        </w:rPr>
        <w:t>%。偏差率</w:t>
      </w:r>
      <w:r>
        <w:rPr>
          <w:rFonts w:hint="eastAsia" w:ascii="Times New Roman" w:hAnsi="Times New Roman" w:eastAsia="仿宋_GB2312"/>
          <w:b w:val="0"/>
          <w:bCs w:val="0"/>
          <w:color w:val="auto"/>
          <w:highlight w:val="none"/>
          <w:lang w:val="en-US" w:eastAsia="zh-CN"/>
        </w:rPr>
        <w:t>22.22</w:t>
      </w:r>
      <w:r>
        <w:rPr>
          <w:rFonts w:hint="eastAsia" w:ascii="Times New Roman" w:hAnsi="Times New Roman" w:eastAsia="仿宋_GB2312"/>
          <w:b w:val="0"/>
          <w:bCs w:val="0"/>
          <w:color w:val="auto"/>
          <w:highlight w:val="none"/>
        </w:rPr>
        <w:t>%。偏差原因：2025年参保人政策范围内住院费用报销比例有所降低，医保支付方式改革影响，基金滚存结余增加，可支配月数完成值高于目标值，造成偏差。</w:t>
      </w:r>
      <w:r>
        <w:rPr>
          <w:rFonts w:hint="eastAsia" w:ascii="Times New Roman" w:hAnsi="Times New Roman" w:eastAsia="仿宋_GB2312"/>
          <w:b w:val="0"/>
          <w:bCs w:val="0"/>
          <w:color w:val="auto"/>
          <w:highlight w:val="none"/>
          <w:lang w:val="en-US" w:eastAsia="zh-CN"/>
        </w:rPr>
        <w:t>改进措施：</w:t>
      </w:r>
      <w:r>
        <w:rPr>
          <w:rFonts w:hint="eastAsia" w:ascii="Times New Roman" w:hAnsi="Times New Roman" w:eastAsia="仿宋_GB2312"/>
          <w:b w:val="0"/>
          <w:bCs w:val="0"/>
          <w:color w:val="auto"/>
          <w:highlight w:val="none"/>
        </w:rPr>
        <w:t>今后结合项目实际开展情况和政策调整，及时调整绩效目标，增强目标设置精准性。</w:t>
      </w:r>
    </w:p>
    <w:p w14:paraId="0E1467A8">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3.时效指标</w:t>
      </w:r>
    </w:p>
    <w:p w14:paraId="36950A98">
      <w:pPr>
        <w:pStyle w:val="8"/>
        <w:widowControl w:val="0"/>
        <w:spacing w:before="0" w:after="0" w:line="560" w:lineRule="exact"/>
        <w:ind w:firstLine="640" w:firstLineChars="200"/>
        <w:jc w:val="both"/>
        <w:outlineLvl w:val="9"/>
        <w:rPr>
          <w:color w:val="auto"/>
          <w:highlight w:val="none"/>
        </w:rPr>
      </w:pPr>
      <w:r>
        <w:rPr>
          <w:rFonts w:hint="eastAsia" w:ascii="Times New Roman" w:hAnsi="Times New Roman" w:eastAsia="仿宋_GB2312"/>
          <w:b w:val="0"/>
          <w:bCs w:val="0"/>
          <w:color w:val="auto"/>
          <w:highlight w:val="none"/>
        </w:rPr>
        <w:t>当年财政补助资金到位率指标，指标值等于100%，指标完成值为100%，完成率100%。偏差率0%。</w:t>
      </w:r>
    </w:p>
    <w:p w14:paraId="6FFBD713">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rPr>
        <w:t>4.成本指标</w:t>
      </w:r>
    </w:p>
    <w:p w14:paraId="5C06A206">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城乡居民医保自治区财政补助标准指标，指标值不低于700元/（年.人），指标完成值不低于700元/（年.人），完成率100%。偏差率0%。</w:t>
      </w:r>
    </w:p>
    <w:p w14:paraId="3FCD18C5">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（四）项目效益情况</w:t>
      </w:r>
    </w:p>
    <w:p w14:paraId="3B74209C">
      <w:pPr>
        <w:pStyle w:val="8"/>
        <w:widowControl w:val="0"/>
        <w:spacing w:before="0" w:after="0" w:line="560" w:lineRule="exact"/>
        <w:ind w:firstLine="640" w:firstLineChars="200"/>
        <w:jc w:val="both"/>
        <w:outlineLvl w:val="9"/>
        <w:rPr>
          <w:rFonts w:ascii="Times New Roman" w:hAnsi="Times New Roman" w:eastAsia="仿宋_GB2312"/>
          <w:color w:val="auto"/>
          <w:highlight w:val="none"/>
        </w:rPr>
      </w:pPr>
      <w:r>
        <w:rPr>
          <w:rFonts w:hint="eastAsia" w:ascii="Times New Roman" w:hAnsi="Times New Roman" w:eastAsia="仿宋_GB2312"/>
          <w:b w:val="0"/>
          <w:bCs w:val="0"/>
          <w:color w:val="auto"/>
          <w:highlight w:val="none"/>
        </w:rPr>
        <w:t>项目效益类指标包括满意度情况，权重分值为10分，实际得分10分，得分率为100%。</w:t>
      </w:r>
    </w:p>
    <w:p w14:paraId="75E8CC66">
      <w:pPr>
        <w:spacing w:line="600" w:lineRule="exact"/>
        <w:ind w:firstLine="643" w:firstLineChars="200"/>
        <w:outlineLvl w:val="2"/>
        <w:rPr>
          <w:rFonts w:hint="eastAsia" w:ascii="仿宋_GB2312" w:hAnsi="Times New Roman" w:cs="Times New Roman"/>
          <w:b/>
          <w:bCs/>
          <w:color w:val="auto"/>
          <w:sz w:val="32"/>
          <w:szCs w:val="32"/>
          <w:highlight w:val="none"/>
        </w:rPr>
      </w:pPr>
      <w:r>
        <w:rPr>
          <w:rFonts w:hint="eastAsia" w:ascii="仿宋_GB2312" w:hAnsi="Times New Roman" w:cs="Times New Roman"/>
          <w:b/>
          <w:bCs/>
          <w:color w:val="auto"/>
          <w:sz w:val="32"/>
          <w:szCs w:val="32"/>
          <w:highlight w:val="none"/>
          <w:lang w:val="en-US" w:eastAsia="zh-CN"/>
        </w:rPr>
        <w:t>1.</w:t>
      </w:r>
      <w:r>
        <w:rPr>
          <w:rFonts w:hint="eastAsia" w:ascii="仿宋_GB2312" w:hAnsi="Times New Roman" w:cs="Times New Roman"/>
          <w:b/>
          <w:bCs/>
          <w:color w:val="auto"/>
          <w:sz w:val="32"/>
          <w:szCs w:val="32"/>
          <w:highlight w:val="none"/>
        </w:rPr>
        <w:t>满意度指标</w:t>
      </w:r>
    </w:p>
    <w:p w14:paraId="6429065E">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服务对象满意度指标</w:t>
      </w:r>
    </w:p>
    <w:p w14:paraId="417AC435">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参保人员满意度指标，指标值大于等于9</w:t>
      </w:r>
      <w:r>
        <w:rPr>
          <w:rFonts w:hint="eastAsia" w:ascii="Times New Roman" w:hAnsi="Times New Roman" w:eastAsia="仿宋_GB2312"/>
          <w:b w:val="0"/>
          <w:bCs w:val="0"/>
          <w:color w:val="auto"/>
          <w:highlight w:val="none"/>
          <w:lang w:val="en-US" w:eastAsia="zh-CN"/>
        </w:rPr>
        <w:t>5</w:t>
      </w:r>
      <w:r>
        <w:rPr>
          <w:rFonts w:hint="eastAsia" w:ascii="Times New Roman" w:hAnsi="Times New Roman" w:eastAsia="仿宋_GB2312"/>
          <w:b w:val="0"/>
          <w:bCs w:val="0"/>
          <w:color w:val="auto"/>
          <w:highlight w:val="none"/>
        </w:rPr>
        <w:t>%，依据医保信息系统“好差评”统计数据，指标完成值为99.99%，完成率</w:t>
      </w:r>
      <w:r>
        <w:rPr>
          <w:rFonts w:hint="eastAsia" w:ascii="Times New Roman" w:hAnsi="Times New Roman" w:eastAsia="仿宋_GB2312"/>
          <w:b w:val="0"/>
          <w:bCs w:val="0"/>
          <w:color w:val="auto"/>
          <w:highlight w:val="none"/>
          <w:lang w:val="en-US" w:eastAsia="zh-CN"/>
        </w:rPr>
        <w:t>105.25</w:t>
      </w:r>
      <w:r>
        <w:rPr>
          <w:rFonts w:hint="eastAsia" w:ascii="Times New Roman" w:hAnsi="Times New Roman" w:eastAsia="仿宋_GB2312"/>
          <w:b w:val="0"/>
          <w:bCs w:val="0"/>
          <w:color w:val="auto"/>
          <w:highlight w:val="none"/>
        </w:rPr>
        <w:t>%。偏差率</w:t>
      </w:r>
      <w:r>
        <w:rPr>
          <w:rFonts w:hint="eastAsia" w:ascii="Times New Roman" w:hAnsi="Times New Roman" w:eastAsia="仿宋_GB2312"/>
          <w:b w:val="0"/>
          <w:bCs w:val="0"/>
          <w:color w:val="auto"/>
          <w:highlight w:val="none"/>
          <w:lang w:val="en-US" w:eastAsia="zh-CN"/>
        </w:rPr>
        <w:t>5.25</w:t>
      </w:r>
      <w:r>
        <w:rPr>
          <w:rFonts w:hint="eastAsia" w:ascii="Times New Roman" w:hAnsi="Times New Roman" w:eastAsia="仿宋_GB2312"/>
          <w:b w:val="0"/>
          <w:bCs w:val="0"/>
          <w:color w:val="auto"/>
          <w:highlight w:val="none"/>
        </w:rPr>
        <w:t>%。偏差原因：年初目标值设置较低，满意度指标超额完成，造成偏差。改进措施：今后综合考虑项目情况，多参考历史完成值，进一步提高指标设置的精准性，降低指标偏差。</w:t>
      </w:r>
    </w:p>
    <w:p w14:paraId="64AFD050">
      <w:pPr>
        <w:spacing w:line="600" w:lineRule="exact"/>
        <w:ind w:firstLine="640" w:firstLineChars="200"/>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rPr>
        <w:t>五、主要经验及做法、存在的问题及原因分析</w:t>
      </w:r>
    </w:p>
    <w:p w14:paraId="12926E9B">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（一）主要经验及做法</w:t>
      </w:r>
    </w:p>
    <w:p w14:paraId="201D9D2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一是持续强化部门协作与信息化建设。自税务部门全口径代缴后，针对居民医疗跨统筹区有两个和两个以上参保登记的情况，通过规范所有缴费渠道人员信息入口，设置筛选条件为：“国籍+证件类型+证件号码+姓名”办理缴费业务，确保缴费人员唯一性，</w:t>
      </w:r>
      <w:r>
        <w:rPr>
          <w:rFonts w:hint="eastAsia" w:ascii="Times New Roman" w:hAnsi="Times New Roman" w:eastAsia="仿宋_GB2312"/>
          <w:b w:val="0"/>
          <w:bCs w:val="0"/>
          <w:color w:val="auto"/>
          <w:highlight w:val="none"/>
          <w:lang w:val="en-US" w:eastAsia="zh-CN"/>
        </w:rPr>
        <w:t>进一步减少</w:t>
      </w:r>
      <w:r>
        <w:rPr>
          <w:rFonts w:hint="eastAsia" w:ascii="Times New Roman" w:hAnsi="Times New Roman" w:eastAsia="仿宋_GB2312"/>
          <w:b w:val="0"/>
          <w:bCs w:val="0"/>
          <w:color w:val="auto"/>
          <w:highlight w:val="none"/>
        </w:rPr>
        <w:t>全区统筹区内基本医疗保险重复参保人员。</w:t>
      </w:r>
    </w:p>
    <w:p w14:paraId="6765A2AB">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二</w:t>
      </w:r>
      <w:r>
        <w:rPr>
          <w:rFonts w:ascii="Times New Roman" w:hAnsi="Times New Roman" w:eastAsia="仿宋_GB2312"/>
          <w:b w:val="0"/>
          <w:bCs w:val="0"/>
          <w:color w:val="auto"/>
          <w:highlight w:val="none"/>
        </w:rPr>
        <w:t>是扎实推进全民参保计划实施。加大协同征缴力度，确保城乡居民保险应参尽参，基金应收尽收。聚焦重点人群，补齐参保短板。持续聚焦新生儿、大学生、流动人口等群体，优化服务流程，查找短板漏洞，针对性地做好参保工作，动员更多符合条件人员参保。加强对未参保人员、中断参保人员的宣传动员，减少漏保断保。</w:t>
      </w:r>
    </w:p>
    <w:p w14:paraId="4398FFDD">
      <w:pPr>
        <w:pStyle w:val="8"/>
        <w:widowControl w:val="0"/>
        <w:spacing w:before="0" w:after="0" w:line="560" w:lineRule="exact"/>
        <w:ind w:firstLine="640" w:firstLineChars="200"/>
        <w:jc w:val="both"/>
        <w:outlineLvl w:val="9"/>
        <w:rPr>
          <w:rFonts w:ascii="Times New Roman" w:hAnsi="Times New Roman" w:eastAsia="楷体_GB2312"/>
          <w:color w:val="auto"/>
          <w:highlight w:val="none"/>
        </w:rPr>
      </w:pPr>
      <w:r>
        <w:rPr>
          <w:rFonts w:hint="eastAsia" w:ascii="Times New Roman" w:hAnsi="Times New Roman" w:eastAsia="仿宋_GB2312"/>
          <w:b w:val="0"/>
          <w:bCs w:val="0"/>
          <w:color w:val="auto"/>
          <w:highlight w:val="none"/>
        </w:rPr>
        <w:t>三</w:t>
      </w:r>
      <w:r>
        <w:rPr>
          <w:rFonts w:ascii="Times New Roman" w:hAnsi="Times New Roman" w:eastAsia="仿宋_GB2312"/>
          <w:b w:val="0"/>
          <w:bCs w:val="0"/>
          <w:color w:val="auto"/>
          <w:highlight w:val="none"/>
        </w:rPr>
        <w:t>是精准高效，提升预算管理水平。探索依托信息平台，开展基金全流程信息化管理，建立</w:t>
      </w:r>
      <w:r>
        <w:rPr>
          <w:rFonts w:hint="eastAsia" w:ascii="Times New Roman" w:hAnsi="Times New Roman" w:eastAsia="仿宋_GB2312"/>
          <w:b w:val="0"/>
          <w:bCs w:val="0"/>
          <w:color w:val="auto"/>
          <w:highlight w:val="none"/>
          <w:lang w:val="en-US" w:eastAsia="zh-CN"/>
        </w:rPr>
        <w:t>健全</w:t>
      </w:r>
      <w:r>
        <w:rPr>
          <w:rFonts w:ascii="Times New Roman" w:hAnsi="Times New Roman" w:eastAsia="仿宋_GB2312"/>
          <w:b w:val="0"/>
          <w:bCs w:val="0"/>
          <w:color w:val="auto"/>
          <w:highlight w:val="none"/>
        </w:rPr>
        <w:t>基金风险预警机制和风险预警监测指标体系，强化基金预算、决算，报表编制的及时性，加强基金</w:t>
      </w:r>
      <w:r>
        <w:rPr>
          <w:rFonts w:hint="eastAsia" w:ascii="Times New Roman" w:hAnsi="Times New Roman" w:eastAsia="仿宋_GB2312"/>
          <w:b w:val="0"/>
          <w:bCs w:val="0"/>
          <w:color w:val="auto"/>
          <w:highlight w:val="none"/>
        </w:rPr>
        <w:t>收支</w:t>
      </w:r>
      <w:r>
        <w:rPr>
          <w:rFonts w:ascii="Times New Roman" w:hAnsi="Times New Roman" w:eastAsia="仿宋_GB2312"/>
          <w:b w:val="0"/>
          <w:bCs w:val="0"/>
          <w:color w:val="auto"/>
          <w:highlight w:val="none"/>
        </w:rPr>
        <w:t>变化监测，确保基金安全。</w:t>
      </w:r>
    </w:p>
    <w:p w14:paraId="45CA4C7D">
      <w:pPr>
        <w:pStyle w:val="8"/>
        <w:spacing w:before="0" w:after="0" w:line="560" w:lineRule="exact"/>
        <w:ind w:firstLine="643" w:firstLineChars="200"/>
        <w:jc w:val="both"/>
        <w:rPr>
          <w:rFonts w:hint="eastAsia" w:ascii="Times New Roman" w:hAnsi="Times New Roman" w:eastAsia="楷体_GB2312" w:cs="Times New Roman"/>
          <w:color w:val="auto"/>
          <w:highlight w:val="none"/>
        </w:rPr>
      </w:pPr>
      <w:r>
        <w:rPr>
          <w:rFonts w:hint="eastAsia" w:ascii="Times New Roman" w:hAnsi="Times New Roman" w:eastAsia="楷体_GB2312" w:cs="Times New Roman"/>
          <w:color w:val="auto"/>
          <w:highlight w:val="none"/>
        </w:rPr>
        <w:t>（二）存在的问题及原因分析</w:t>
      </w:r>
    </w:p>
    <w:p w14:paraId="78E7A454">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1.项目实施过程中发现，进一步参保扩面仍面临多重挑战，经济下行压力加大，城乡居民基本医疗保险个人缴费标准逐年上涨，缴费意愿降低。</w:t>
      </w:r>
    </w:p>
    <w:p w14:paraId="2450EC6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2.跨部门协同工作机制仍需完善。一是虽已避免我区居民与兵团居民重复参保，但仍存在跨制度重复参保情况；二是民政、公安、医保三部门数据共享周期长，由于参保人员生存状态等信息更新存在延迟，存在参保人员死亡后医保系统未更新前仍可以缴纳医保情况。</w:t>
      </w:r>
    </w:p>
    <w:p w14:paraId="3F57BB68">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3.城乡居民基本医疗保险筹资方式有待改进。现行个人筹资标准采用每年定额增加机制，未与经济社会发展相联系，不利于城乡居民基本医疗保险制度的可持续发展。</w:t>
      </w:r>
    </w:p>
    <w:p w14:paraId="6284375D">
      <w:pPr>
        <w:spacing w:line="600" w:lineRule="exact"/>
        <w:ind w:firstLine="640" w:firstLineChars="200"/>
        <w:outlineLvl w:val="0"/>
        <w:rPr>
          <w:rFonts w:hint="eastAsia" w:ascii="黑体" w:hAnsi="黑体" w:eastAsia="黑体" w:cs="Times New Roman"/>
          <w:color w:val="auto"/>
          <w:sz w:val="32"/>
          <w:szCs w:val="32"/>
          <w:highlight w:val="none"/>
        </w:rPr>
      </w:pPr>
      <w:r>
        <w:rPr>
          <w:rFonts w:hint="eastAsia" w:ascii="黑体" w:hAnsi="黑体" w:eastAsia="黑体" w:cs="Times New Roman"/>
          <w:color w:val="auto"/>
          <w:sz w:val="32"/>
          <w:szCs w:val="32"/>
          <w:highlight w:val="none"/>
          <w:lang w:val="en-US" w:eastAsia="zh-CN"/>
        </w:rPr>
        <w:t>六、</w:t>
      </w:r>
      <w:r>
        <w:rPr>
          <w:rFonts w:hint="eastAsia" w:ascii="黑体" w:hAnsi="黑体" w:eastAsia="黑体" w:cs="Times New Roman"/>
          <w:color w:val="auto"/>
          <w:sz w:val="32"/>
          <w:szCs w:val="32"/>
          <w:highlight w:val="none"/>
        </w:rPr>
        <w:t>有关建议</w:t>
      </w:r>
    </w:p>
    <w:p w14:paraId="5736625D">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一是持续巩固拓展全民参保成果，推动落实参保激励约束政策，优化参保缴费流程，推动全民参保提质扩面。加快建立自治区长期护理保险制度，持续完善生育保险制度，修订《职工生育保险办法》</w:t>
      </w:r>
      <w:r>
        <w:rPr>
          <w:rFonts w:hint="eastAsia" w:ascii="Times New Roman" w:hAnsi="Times New Roman" w:eastAsia="仿宋_GB2312"/>
          <w:b w:val="0"/>
          <w:bCs w:val="0"/>
          <w:color w:val="auto"/>
          <w:highlight w:val="none"/>
        </w:rPr>
        <w:t>。巩固扩大生育保险覆盖面，将灵活就业人员纳入生育保险保障</w:t>
      </w:r>
      <w:r>
        <w:rPr>
          <w:rFonts w:hint="eastAsia" w:ascii="Times New Roman" w:hAnsi="Times New Roman" w:eastAsia="仿宋_GB2312"/>
          <w:b w:val="0"/>
          <w:bCs w:val="0"/>
          <w:color w:val="auto"/>
          <w:highlight w:val="none"/>
        </w:rPr>
        <w:t>范围。</w:t>
      </w:r>
      <w:r>
        <w:rPr>
          <w:rFonts w:hint="eastAsia" w:ascii="Times New Roman" w:hAnsi="Times New Roman" w:eastAsia="仿宋_GB2312"/>
          <w:b w:val="0"/>
          <w:bCs w:val="0"/>
          <w:color w:val="auto"/>
          <w:highlight w:val="none"/>
          <w:lang w:val="en-US" w:eastAsia="zh-CN"/>
        </w:rPr>
        <w:t>继续推进</w:t>
      </w:r>
      <w:r>
        <w:rPr>
          <w:rFonts w:hint="eastAsia" w:ascii="Times New Roman" w:hAnsi="Times New Roman" w:eastAsia="仿宋_GB2312"/>
          <w:b w:val="0"/>
          <w:bCs w:val="0"/>
          <w:color w:val="auto"/>
          <w:highlight w:val="none"/>
        </w:rPr>
        <w:t>职工医保个账资金跨省共济使用，实现各统筹地区门诊慢特病认定、管理、服务标准统一。</w:t>
      </w:r>
    </w:p>
    <w:p w14:paraId="2152962E">
      <w:pPr>
        <w:pStyle w:val="8"/>
        <w:widowControl w:val="0"/>
        <w:spacing w:before="0" w:after="0" w:line="560" w:lineRule="exact"/>
        <w:ind w:firstLine="640" w:firstLineChars="200"/>
        <w:jc w:val="both"/>
        <w:outlineLvl w:val="9"/>
        <w:rPr>
          <w:rFonts w:hint="eastAsia" w:ascii="Times New Roman" w:hAnsi="Times New Roman" w:eastAsia="仿宋_GB2312"/>
          <w:b w:val="0"/>
          <w:bCs w:val="0"/>
          <w:color w:val="auto"/>
          <w:highlight w:val="none"/>
          <w:lang w:eastAsia="zh-CN"/>
        </w:rPr>
      </w:pPr>
      <w:r>
        <w:rPr>
          <w:rFonts w:hint="eastAsia" w:ascii="Times New Roman" w:hAnsi="Times New Roman" w:eastAsia="仿宋_GB2312"/>
          <w:b w:val="0"/>
          <w:bCs w:val="0"/>
          <w:color w:val="auto"/>
          <w:highlight w:val="none"/>
        </w:rPr>
        <w:t>二是健全多层次医疗保障体系，满足群众多元化医疗保障需求。完善基本医保三重保障制度梯次减负功能。健全大病保险制度，因地制宜探索符合时代特征、灵活多样的大病保险经办承办模式。落实分类资助困难群众参保和医疗费用救助政策，健全防止因病返贫致贫长效机制。加快推动各统筹地区政策统一规范，稳妥推进基本医疗保险省级统筹。</w:t>
      </w:r>
      <w:r>
        <w:rPr>
          <w:rFonts w:hint="eastAsia" w:ascii="Times New Roman" w:hAnsi="Times New Roman" w:eastAsia="仿宋_GB2312"/>
          <w:b w:val="0"/>
          <w:bCs w:val="0"/>
          <w:color w:val="auto"/>
          <w:highlight w:val="none"/>
        </w:rPr>
        <w:t>积极支持商保开发与基本医保相衔接的健康保险产品，</w:t>
      </w:r>
      <w:r>
        <w:rPr>
          <w:rFonts w:hint="eastAsia" w:ascii="Times New Roman" w:hAnsi="Times New Roman" w:eastAsia="仿宋_GB2312"/>
          <w:b w:val="0"/>
          <w:bCs w:val="0"/>
          <w:color w:val="auto"/>
          <w:highlight w:val="none"/>
          <w:lang w:val="en-US" w:eastAsia="zh-CN"/>
        </w:rPr>
        <w:t>如</w:t>
      </w:r>
      <w:r>
        <w:rPr>
          <w:rFonts w:hint="eastAsia" w:ascii="Times New Roman" w:hAnsi="Times New Roman" w:eastAsia="仿宋_GB2312"/>
          <w:b w:val="0"/>
          <w:bCs w:val="0"/>
          <w:color w:val="auto"/>
          <w:highlight w:val="none"/>
        </w:rPr>
        <w:t>“惠民保”</w:t>
      </w:r>
      <w:r>
        <w:rPr>
          <w:rFonts w:hint="eastAsia" w:ascii="Times New Roman" w:hAnsi="Times New Roman" w:eastAsia="仿宋_GB2312"/>
          <w:b w:val="0"/>
          <w:bCs w:val="0"/>
          <w:color w:val="auto"/>
          <w:highlight w:val="none"/>
          <w:lang w:eastAsia="zh-CN"/>
        </w:rPr>
        <w:t>。</w:t>
      </w:r>
    </w:p>
    <w:p w14:paraId="3F7CBB41">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三是优化医保支付机制，赋能医药机构健康发展。全面推行以按病种付费（DRG/DIP）为主的多元复合式医保支付方式改革，引导医疗机构主动规范诊疗行为、控制成本、提升服务效率。组织开展2025年定点医药机构医保基金使用绩效评价。指导各统筹地区每季度向定点医药机构“亮医保基金家底”，促进共享共治。落实医保基金预付制度。积极推进医保与医药企业直接结算。建立医药货款直接结算体制机制，制定结算政策和业务规范，分批逐步推进线上结算，持续压缩药品耗材流通环节成本。</w:t>
      </w:r>
    </w:p>
    <w:p w14:paraId="178633D1">
      <w:pPr>
        <w:numPr>
          <w:ilvl w:val="0"/>
          <w:numId w:val="5"/>
        </w:numPr>
        <w:spacing w:line="600" w:lineRule="exact"/>
        <w:ind w:firstLine="600" w:firstLineChars="200"/>
        <w:rPr>
          <w:rFonts w:ascii="黑体" w:hAnsi="黑体" w:eastAsia="黑体"/>
          <w:color w:val="auto"/>
          <w:highlight w:val="none"/>
        </w:rPr>
      </w:pPr>
      <w:r>
        <w:rPr>
          <w:rFonts w:hint="eastAsia" w:ascii="黑体" w:hAnsi="黑体" w:eastAsia="黑体"/>
          <w:color w:val="auto"/>
          <w:highlight w:val="none"/>
        </w:rPr>
        <w:t>其他需要说明的问题</w:t>
      </w:r>
    </w:p>
    <w:p w14:paraId="475D8074">
      <w:pPr>
        <w:spacing w:line="600" w:lineRule="exact"/>
        <w:ind w:left="600" w:leftChars="200"/>
        <w:rPr>
          <w:color w:val="auto"/>
          <w:kern w:val="28"/>
          <w:sz w:val="32"/>
          <w:szCs w:val="32"/>
          <w:highlight w:val="none"/>
        </w:rPr>
      </w:pPr>
      <w:r>
        <w:rPr>
          <w:rFonts w:hint="eastAsia"/>
          <w:color w:val="auto"/>
          <w:kern w:val="28"/>
          <w:sz w:val="32"/>
          <w:szCs w:val="32"/>
          <w:highlight w:val="none"/>
        </w:rPr>
        <w:t>无</w:t>
      </w:r>
    </w:p>
    <w:p w14:paraId="645D3BED">
      <w:pPr>
        <w:spacing w:line="600" w:lineRule="exact"/>
        <w:ind w:left="600" w:leftChars="200"/>
        <w:rPr>
          <w:rFonts w:ascii="黑体" w:hAnsi="黑体" w:eastAsia="黑体"/>
          <w:color w:val="auto"/>
          <w:highlight w:val="none"/>
        </w:rPr>
      </w:pPr>
      <w:r>
        <w:rPr>
          <w:rFonts w:hint="eastAsia" w:ascii="黑体" w:hAnsi="黑体" w:eastAsia="黑体"/>
          <w:color w:val="auto"/>
          <w:highlight w:val="none"/>
        </w:rPr>
        <w:t>八、附件</w:t>
      </w:r>
    </w:p>
    <w:p w14:paraId="437B757A">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附件1.《城乡居民医保自治区财政补助资金项目绩效自评表》</w:t>
      </w:r>
    </w:p>
    <w:p w14:paraId="12F12372">
      <w:pPr>
        <w:pStyle w:val="8"/>
        <w:widowControl w:val="0"/>
        <w:spacing w:before="0" w:after="0" w:line="560" w:lineRule="exact"/>
        <w:ind w:firstLine="640" w:firstLineChars="200"/>
        <w:jc w:val="both"/>
        <w:outlineLvl w:val="9"/>
        <w:rPr>
          <w:rFonts w:ascii="Times New Roman" w:hAnsi="Times New Roman" w:eastAsia="仿宋_GB2312"/>
          <w:b w:val="0"/>
          <w:bCs w:val="0"/>
          <w:color w:val="auto"/>
          <w:highlight w:val="none"/>
        </w:rPr>
      </w:pPr>
      <w:r>
        <w:rPr>
          <w:rFonts w:hint="eastAsia" w:ascii="Times New Roman" w:hAnsi="Times New Roman" w:eastAsia="仿宋_GB2312"/>
          <w:b w:val="0"/>
          <w:bCs w:val="0"/>
          <w:color w:val="auto"/>
          <w:highlight w:val="none"/>
        </w:rPr>
        <w:t>附件2.《</w:t>
      </w:r>
      <w:r>
        <w:rPr>
          <w:rFonts w:ascii="Times New Roman" w:hAnsi="Times New Roman" w:eastAsia="仿宋_GB2312"/>
          <w:b w:val="0"/>
          <w:bCs w:val="0"/>
          <w:color w:val="auto"/>
          <w:highlight w:val="none"/>
        </w:rPr>
        <w:t>城乡居民医保自治区财政补助资金绩效评价指标体系</w:t>
      </w:r>
      <w:r>
        <w:rPr>
          <w:rFonts w:hint="eastAsia" w:ascii="Times New Roman" w:hAnsi="Times New Roman" w:eastAsia="仿宋_GB2312"/>
          <w:b w:val="0"/>
          <w:bCs w:val="0"/>
          <w:color w:val="auto"/>
          <w:highlight w:val="none"/>
        </w:rPr>
        <w:t>及评分表》</w:t>
      </w:r>
    </w:p>
    <w:p w14:paraId="070D4563">
      <w:pPr>
        <w:rPr>
          <w:rFonts w:ascii="仿宋_GB2312"/>
          <w:color w:val="auto"/>
          <w:highlight w:val="none"/>
        </w:rPr>
      </w:pPr>
      <w:r>
        <w:rPr>
          <w:rFonts w:hint="eastAsia" w:ascii="仿宋_GB2312"/>
          <w:color w:val="auto"/>
          <w:highlight w:val="none"/>
        </w:rPr>
        <w:br w:type="page"/>
      </w:r>
    </w:p>
    <w:p w14:paraId="69CC28FC">
      <w:pPr>
        <w:rPr>
          <w:rFonts w:hint="eastAsia" w:ascii="黑体" w:hAnsi="黑体" w:eastAsia="黑体" w:cs="黑体"/>
          <w:color w:val="auto"/>
          <w:highlight w:val="none"/>
          <w:lang w:val="en-US" w:eastAsia="zh-CN"/>
        </w:rPr>
      </w:pPr>
      <w:r>
        <w:rPr>
          <w:rFonts w:hint="eastAsia" w:ascii="黑体" w:hAnsi="黑体" w:eastAsia="黑体" w:cs="黑体"/>
          <w:color w:val="auto"/>
          <w:highlight w:val="none"/>
          <w:lang w:val="en-US" w:eastAsia="zh-CN"/>
        </w:rPr>
        <w:t>附件1：</w:t>
      </w: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1"/>
        <w:gridCol w:w="691"/>
        <w:gridCol w:w="692"/>
        <w:gridCol w:w="1598"/>
        <w:gridCol w:w="1026"/>
        <w:gridCol w:w="1026"/>
        <w:gridCol w:w="1125"/>
        <w:gridCol w:w="2155"/>
      </w:tblGrid>
      <w:tr w14:paraId="49199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000" w:type="pct"/>
            <w:gridSpan w:val="8"/>
            <w:tcBorders>
              <w:top w:val="nil"/>
              <w:left w:val="nil"/>
              <w:bottom w:val="nil"/>
              <w:right w:val="nil"/>
            </w:tcBorders>
            <w:shd w:val="clear" w:color="auto" w:fill="auto"/>
            <w:vAlign w:val="center"/>
          </w:tcPr>
          <w:p w14:paraId="67A14C73">
            <w:pPr>
              <w:keepNext w:val="0"/>
              <w:keepLines w:val="0"/>
              <w:widowControl/>
              <w:suppressLineNumbers w:val="0"/>
              <w:jc w:val="center"/>
              <w:textAlignment w:val="center"/>
              <w:rPr>
                <w:rFonts w:hint="eastAsia" w:ascii="宋体" w:hAnsi="宋体" w:eastAsia="宋体" w:cs="宋体"/>
                <w:b/>
                <w:bCs/>
                <w:i w:val="0"/>
                <w:iCs w:val="0"/>
                <w:color w:val="auto"/>
                <w:sz w:val="32"/>
                <w:szCs w:val="32"/>
                <w:highlight w:val="none"/>
                <w:u w:val="none"/>
              </w:rPr>
            </w:pPr>
            <w:r>
              <w:rPr>
                <w:rFonts w:hint="eastAsia" w:ascii="宋体" w:hAnsi="宋体" w:eastAsia="宋体" w:cs="宋体"/>
                <w:b/>
                <w:bCs/>
                <w:i w:val="0"/>
                <w:iCs w:val="0"/>
                <w:color w:val="auto"/>
                <w:kern w:val="0"/>
                <w:sz w:val="32"/>
                <w:szCs w:val="32"/>
                <w:highlight w:val="none"/>
                <w:u w:val="none"/>
                <w:lang w:val="en-US" w:eastAsia="zh-CN" w:bidi="ar"/>
              </w:rPr>
              <w:t>项目支出绩效自评表</w:t>
            </w:r>
          </w:p>
        </w:tc>
      </w:tr>
      <w:tr w14:paraId="50375D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000"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09A87E0">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(2025年度)</w:t>
            </w:r>
          </w:p>
        </w:tc>
      </w:tr>
      <w:tr w14:paraId="32DDDB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424035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418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90349C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城乡居民医保自治区财政补助经费项目</w:t>
            </w:r>
          </w:p>
        </w:tc>
      </w:tr>
      <w:tr w14:paraId="77222B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10"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D6551E7">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主管部门</w:t>
            </w:r>
          </w:p>
        </w:tc>
        <w:tc>
          <w:tcPr>
            <w:tcW w:w="2326"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2C586C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新疆维吾尔自治区医疗保障局</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F6125B">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实施单位</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AA0862">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新疆维吾尔自治区医疗保障局</w:t>
            </w:r>
          </w:p>
        </w:tc>
      </w:tr>
      <w:tr w14:paraId="2A0F7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10"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1C30D2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w:t>
            </w:r>
            <w:r>
              <w:rPr>
                <w:rFonts w:hint="eastAsia" w:ascii="宋体" w:hAnsi="宋体" w:eastAsia="宋体" w:cs="宋体"/>
                <w:b/>
                <w:bCs/>
                <w:i w:val="0"/>
                <w:iCs w:val="0"/>
                <w:color w:val="auto"/>
                <w:kern w:val="0"/>
                <w:sz w:val="18"/>
                <w:szCs w:val="18"/>
                <w:highlight w:val="none"/>
                <w:u w:val="none"/>
                <w:lang w:val="en-US" w:eastAsia="zh-CN" w:bidi="ar"/>
              </w:rPr>
              <w:br w:type="textWrapping"/>
            </w:r>
            <w:r>
              <w:rPr>
                <w:rFonts w:hint="eastAsia" w:ascii="宋体" w:hAnsi="宋体" w:eastAsia="宋体" w:cs="宋体"/>
                <w:b/>
                <w:bCs/>
                <w:i w:val="0"/>
                <w:iCs w:val="0"/>
                <w:color w:val="auto"/>
                <w:kern w:val="0"/>
                <w:sz w:val="18"/>
                <w:szCs w:val="18"/>
                <w:highlight w:val="none"/>
                <w:u w:val="none"/>
                <w:lang w:val="en-US" w:eastAsia="zh-CN" w:bidi="ar"/>
              </w:rPr>
              <w:t>（万元）</w:t>
            </w:r>
          </w:p>
        </w:tc>
        <w:tc>
          <w:tcPr>
            <w:tcW w:w="1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BB6A45">
            <w:pPr>
              <w:jc w:val="center"/>
              <w:rPr>
                <w:rFonts w:hint="eastAsia" w:ascii="宋体" w:hAnsi="宋体" w:eastAsia="宋体" w:cs="宋体"/>
                <w:b/>
                <w:bCs/>
                <w:i w:val="0"/>
                <w:iCs w:val="0"/>
                <w:color w:val="auto"/>
                <w:sz w:val="18"/>
                <w:szCs w:val="18"/>
                <w:highlight w:val="none"/>
                <w:u w:val="none"/>
              </w:rPr>
            </w:pP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3E915B">
            <w:pPr>
              <w:keepNext w:val="0"/>
              <w:keepLines w:val="0"/>
              <w:widowControl/>
              <w:suppressLineNumbers w:val="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年初预算数</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CF4F9A">
            <w:pPr>
              <w:keepNext w:val="0"/>
              <w:keepLines w:val="0"/>
              <w:widowControl/>
              <w:suppressLineNumbers w:val="0"/>
              <w:jc w:val="left"/>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全年预算数</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EC53BE">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全年执行数</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2E00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执行率</w:t>
            </w:r>
          </w:p>
        </w:tc>
      </w:tr>
      <w:tr w14:paraId="7E711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E7BE89">
            <w:pPr>
              <w:jc w:val="center"/>
              <w:rPr>
                <w:rFonts w:hint="eastAsia" w:ascii="宋体" w:hAnsi="宋体" w:eastAsia="宋体" w:cs="宋体"/>
                <w:b/>
                <w:bCs/>
                <w:i w:val="0"/>
                <w:iCs w:val="0"/>
                <w:color w:val="auto"/>
                <w:sz w:val="18"/>
                <w:szCs w:val="18"/>
                <w:highlight w:val="none"/>
                <w:u w:val="none"/>
              </w:rPr>
            </w:pPr>
          </w:p>
        </w:tc>
        <w:tc>
          <w:tcPr>
            <w:tcW w:w="1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9439F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年度资金总额</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ED6D0">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648C04">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B63ED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E195C">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100%</w:t>
            </w:r>
          </w:p>
        </w:tc>
      </w:tr>
      <w:tr w14:paraId="355A4B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8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81D3D7">
            <w:pPr>
              <w:jc w:val="center"/>
              <w:rPr>
                <w:rFonts w:hint="eastAsia" w:ascii="宋体" w:hAnsi="宋体" w:eastAsia="宋体" w:cs="宋体"/>
                <w:b/>
                <w:bCs/>
                <w:i w:val="0"/>
                <w:iCs w:val="0"/>
                <w:color w:val="auto"/>
                <w:sz w:val="18"/>
                <w:szCs w:val="18"/>
                <w:highlight w:val="none"/>
                <w:u w:val="none"/>
              </w:rPr>
            </w:pPr>
          </w:p>
        </w:tc>
        <w:tc>
          <w:tcPr>
            <w:tcW w:w="1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F09F1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其中：当年财政拨款</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4D9289">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9264D">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3ACB6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188633.00</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E2C95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1AE741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810"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01BEF0">
            <w:pPr>
              <w:jc w:val="center"/>
              <w:rPr>
                <w:rFonts w:hint="eastAsia" w:ascii="宋体" w:hAnsi="宋体" w:eastAsia="宋体" w:cs="宋体"/>
                <w:b/>
                <w:bCs/>
                <w:i w:val="0"/>
                <w:iCs w:val="0"/>
                <w:color w:val="auto"/>
                <w:sz w:val="18"/>
                <w:szCs w:val="18"/>
                <w:highlight w:val="none"/>
                <w:u w:val="none"/>
              </w:rPr>
            </w:pPr>
          </w:p>
        </w:tc>
        <w:tc>
          <w:tcPr>
            <w:tcW w:w="131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DB2744C">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 xml:space="preserve">  其他资金</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8531BE">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510717">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64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71EC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0.00</w:t>
            </w:r>
          </w:p>
        </w:tc>
        <w:tc>
          <w:tcPr>
            <w:tcW w:w="121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A8F6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p>
        </w:tc>
      </w:tr>
      <w:tr w14:paraId="6379F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F81B4F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年度总体目标</w:t>
            </w:r>
          </w:p>
        </w:tc>
        <w:tc>
          <w:tcPr>
            <w:tcW w:w="27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868B8A2">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预期目标</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DCED83">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实际完成情况</w:t>
            </w:r>
          </w:p>
        </w:tc>
      </w:tr>
      <w:tr w14:paraId="27493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2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A81A33">
            <w:pPr>
              <w:jc w:val="center"/>
              <w:rPr>
                <w:rFonts w:hint="eastAsia" w:ascii="宋体" w:hAnsi="宋体" w:eastAsia="宋体" w:cs="宋体"/>
                <w:b/>
                <w:bCs/>
                <w:i w:val="0"/>
                <w:iCs w:val="0"/>
                <w:color w:val="auto"/>
                <w:sz w:val="18"/>
                <w:szCs w:val="18"/>
                <w:highlight w:val="none"/>
                <w:u w:val="none"/>
              </w:rPr>
            </w:pPr>
          </w:p>
        </w:tc>
        <w:tc>
          <w:tcPr>
            <w:tcW w:w="2732"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D1AA883">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根据《财政部、医保局关于修订&lt;中央财政城乡居民基本医疗保险补助资金管理办法&gt;的通知》（财社〔2022〕1号）、《基本公共服务领域自治区以下共同财政事权和支出责任划分改革方案》等文件，通过实施该项目，积极推进全民参保计划，巩固参保率；稳步提高财政补助资金，确保城乡居民基本医疗保险参保人员的医疗待遇落实；按时足额安排财政补助资金，确保在每年12月底以前全部到位；全面实施大病保险制度，减轻参保人员的经济负担，缓解社会矛盾；实现基金收支平衡。</w:t>
            </w:r>
          </w:p>
        </w:tc>
        <w:tc>
          <w:tcPr>
            <w:tcW w:w="1862" w:type="pct"/>
            <w:gridSpan w:val="2"/>
            <w:tcBorders>
              <w:top w:val="single" w:color="000000" w:sz="4" w:space="0"/>
              <w:left w:val="single" w:color="000000" w:sz="4" w:space="0"/>
              <w:bottom w:val="nil"/>
              <w:right w:val="single" w:color="000000" w:sz="4" w:space="0"/>
            </w:tcBorders>
            <w:shd w:val="clear" w:color="auto" w:fill="auto"/>
            <w:vAlign w:val="center"/>
          </w:tcPr>
          <w:p w14:paraId="29436E7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截至2025年12月底，项目积极推进全民参保计划，巩固参保率，完成基本医疗保险参保2103.98万人；稳步提高财政补助资金，城乡居民医保自治区财政补助标准不低于700元/（年.人），参保人政策范围内住院费用报销比例70.86%,确保了城乡居民基本医疗保险参保人员的医疗待遇落实；按时足额安排财政补助资金，当年财政补助资金到位率100%，减轻了参保人员的经济负担，缓解了社会矛盾；申请结算补助资金时多报、虚报参保0人，基金滚存结余可支配月数达到11个月，实现基金收支平衡。</w:t>
            </w:r>
          </w:p>
        </w:tc>
      </w:tr>
      <w:tr w14:paraId="427D36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62BDB0F">
            <w:pPr>
              <w:jc w:val="center"/>
              <w:rPr>
                <w:rFonts w:hint="eastAsia" w:ascii="宋体" w:hAnsi="宋体" w:eastAsia="宋体" w:cs="宋体"/>
                <w:i w:val="0"/>
                <w:iCs w:val="0"/>
                <w:color w:val="auto"/>
                <w:sz w:val="18"/>
                <w:szCs w:val="18"/>
                <w:highlight w:val="none"/>
                <w:u w:val="none"/>
              </w:rPr>
            </w:pP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A60BB34">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7BAC18">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90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DCED4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52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CAAFBF">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目标值</w:t>
            </w:r>
          </w:p>
        </w:tc>
        <w:tc>
          <w:tcPr>
            <w:tcW w:w="48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9B16B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业绩值</w:t>
            </w:r>
          </w:p>
        </w:tc>
        <w:tc>
          <w:tcPr>
            <w:tcW w:w="1862"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15AFB1">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偏差原因分析及改进措施</w:t>
            </w:r>
          </w:p>
        </w:tc>
      </w:tr>
      <w:tr w14:paraId="6A70C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40F141">
            <w:pPr>
              <w:jc w:val="center"/>
              <w:rPr>
                <w:rFonts w:hint="eastAsia" w:ascii="宋体" w:hAnsi="宋体" w:eastAsia="宋体" w:cs="宋体"/>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F6478D">
            <w:pPr>
              <w:jc w:val="center"/>
              <w:rPr>
                <w:rFonts w:hint="eastAsia" w:ascii="宋体" w:hAnsi="宋体" w:eastAsia="宋体" w:cs="宋体"/>
                <w:b/>
                <w:bCs/>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056FF">
            <w:pPr>
              <w:jc w:val="center"/>
              <w:rPr>
                <w:rFonts w:hint="eastAsia" w:ascii="宋体" w:hAnsi="宋体" w:eastAsia="宋体" w:cs="宋体"/>
                <w:b/>
                <w:bCs/>
                <w:i w:val="0"/>
                <w:iCs w:val="0"/>
                <w:color w:val="auto"/>
                <w:sz w:val="18"/>
                <w:szCs w:val="18"/>
                <w:highlight w:val="none"/>
                <w:u w:val="none"/>
              </w:rPr>
            </w:pPr>
          </w:p>
        </w:tc>
        <w:tc>
          <w:tcPr>
            <w:tcW w:w="90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313DA8">
            <w:pPr>
              <w:jc w:val="center"/>
              <w:rPr>
                <w:rFonts w:hint="eastAsia" w:ascii="宋体" w:hAnsi="宋体" w:eastAsia="宋体" w:cs="宋体"/>
                <w:b/>
                <w:bCs/>
                <w:i w:val="0"/>
                <w:iCs w:val="0"/>
                <w:color w:val="auto"/>
                <w:sz w:val="18"/>
                <w:szCs w:val="18"/>
                <w:highlight w:val="none"/>
                <w:u w:val="none"/>
              </w:rPr>
            </w:pPr>
          </w:p>
        </w:tc>
        <w:tc>
          <w:tcPr>
            <w:tcW w:w="52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92771AA">
            <w:pPr>
              <w:jc w:val="center"/>
              <w:rPr>
                <w:rFonts w:hint="eastAsia" w:ascii="宋体" w:hAnsi="宋体" w:eastAsia="宋体" w:cs="宋体"/>
                <w:b/>
                <w:bCs/>
                <w:i w:val="0"/>
                <w:iCs w:val="0"/>
                <w:color w:val="auto"/>
                <w:sz w:val="18"/>
                <w:szCs w:val="18"/>
                <w:highlight w:val="none"/>
                <w:u w:val="none"/>
              </w:rPr>
            </w:pPr>
          </w:p>
        </w:tc>
        <w:tc>
          <w:tcPr>
            <w:tcW w:w="48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A347FE">
            <w:pPr>
              <w:jc w:val="center"/>
              <w:rPr>
                <w:rFonts w:hint="eastAsia" w:ascii="宋体" w:hAnsi="宋体" w:eastAsia="宋体" w:cs="宋体"/>
                <w:b/>
                <w:bCs/>
                <w:i w:val="0"/>
                <w:iCs w:val="0"/>
                <w:color w:val="auto"/>
                <w:sz w:val="18"/>
                <w:szCs w:val="18"/>
                <w:highlight w:val="none"/>
                <w:u w:val="none"/>
              </w:rPr>
            </w:pPr>
          </w:p>
        </w:tc>
        <w:tc>
          <w:tcPr>
            <w:tcW w:w="1862"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0F5417">
            <w:pPr>
              <w:jc w:val="center"/>
              <w:rPr>
                <w:rFonts w:hint="eastAsia" w:ascii="宋体" w:hAnsi="宋体" w:eastAsia="宋体" w:cs="宋体"/>
                <w:b/>
                <w:bCs/>
                <w:i w:val="0"/>
                <w:iCs w:val="0"/>
                <w:color w:val="auto"/>
                <w:sz w:val="18"/>
                <w:szCs w:val="18"/>
                <w:highlight w:val="none"/>
                <w:u w:val="none"/>
              </w:rPr>
            </w:pPr>
          </w:p>
        </w:tc>
      </w:tr>
      <w:tr w14:paraId="0EE58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E343B5">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年度绩效指标完成情况</w:t>
            </w:r>
          </w:p>
        </w:tc>
        <w:tc>
          <w:tcPr>
            <w:tcW w:w="40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6104D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4DBF0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3D6DD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基本医疗保险参保人数</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A7509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&gt;=2086万人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9B0CC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=2103.98万人</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4D0078">
            <w:pPr>
              <w:jc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sz w:val="18"/>
                <w:szCs w:val="18"/>
                <w:highlight w:val="none"/>
                <w:u w:val="none"/>
              </w:rPr>
              <w:t>偏差原因：参保人数为动态变化数据，2025年全民参保人数有序增加，参保人数扩面，指标完成值与目标值存在微小偏差。改进措施：今后多考虑参保人数变动因素，进一步强化绩效目标设置的精准性。</w:t>
            </w:r>
          </w:p>
        </w:tc>
      </w:tr>
      <w:tr w14:paraId="5CECDE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BFEEBD">
            <w:pPr>
              <w:jc w:val="center"/>
              <w:rPr>
                <w:rFonts w:hint="eastAsia" w:ascii="宋体" w:hAnsi="宋体" w:eastAsia="宋体" w:cs="宋体"/>
                <w:b/>
                <w:bCs/>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CA0CB7">
            <w:pPr>
              <w:jc w:val="center"/>
              <w:rPr>
                <w:rFonts w:hint="eastAsia" w:ascii="宋体" w:hAnsi="宋体" w:eastAsia="宋体" w:cs="宋体"/>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7F125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518BF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申请结算补助资金时多报、虚报参保人数</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10A20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51C58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=0人</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CC7D33">
            <w:pPr>
              <w:jc w:val="center"/>
              <w:rPr>
                <w:rFonts w:hint="eastAsia" w:ascii="宋体" w:hAnsi="宋体" w:eastAsia="宋体" w:cs="宋体"/>
                <w:i w:val="0"/>
                <w:iCs w:val="0"/>
                <w:color w:val="auto"/>
                <w:sz w:val="18"/>
                <w:szCs w:val="18"/>
                <w:highlight w:val="none"/>
                <w:u w:val="none"/>
              </w:rPr>
            </w:pPr>
          </w:p>
        </w:tc>
      </w:tr>
      <w:tr w14:paraId="4015B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6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1E3881">
            <w:pPr>
              <w:jc w:val="center"/>
              <w:rPr>
                <w:rFonts w:hint="eastAsia" w:ascii="宋体" w:hAnsi="宋体" w:eastAsia="宋体" w:cs="宋体"/>
                <w:b/>
                <w:bCs/>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D89EA5">
            <w:pPr>
              <w:jc w:val="center"/>
              <w:rPr>
                <w:rFonts w:hint="eastAsia" w:ascii="宋体" w:hAnsi="宋体" w:eastAsia="宋体" w:cs="宋体"/>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9CD9BD">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4CF9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参保人政策范围内住院费用报销比例</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5810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&gt;=75%</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23F11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=70.86%</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AE8CAB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未完成原因：2025年政策调整、基金管理及医保支付方式改革多因素影响参保人政策范围内住院费用报销比例，完成值未达目标值。改进措施：今后结合项目实际开展情况和政策调整，及时调整绩效目标，增强目标设置精准性。</w:t>
            </w:r>
          </w:p>
        </w:tc>
      </w:tr>
      <w:tr w14:paraId="4FEA41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6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C62EF7">
            <w:pPr>
              <w:jc w:val="center"/>
              <w:rPr>
                <w:rFonts w:hint="eastAsia" w:ascii="宋体" w:hAnsi="宋体" w:eastAsia="宋体" w:cs="宋体"/>
                <w:b/>
                <w:bCs/>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2A8EE6">
            <w:pPr>
              <w:jc w:val="center"/>
              <w:rPr>
                <w:rFonts w:hint="eastAsia" w:ascii="宋体" w:hAnsi="宋体" w:eastAsia="宋体" w:cs="宋体"/>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9FAB8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71BEB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基金滚存结余可支配月数</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8EC3E">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&gt;=9个月</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564E5">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=11个月</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30CCC1">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2025年参保人政策范围内住院费用报销比例有所降低，医保支付方式改革影响，基金滚存结余增加，可支配月数完成值高于目标值，造成偏差。今后结合项目实际开展情况和政策调整，及时调整绩效目标，增强目标设置精准性。</w:t>
            </w:r>
          </w:p>
        </w:tc>
      </w:tr>
      <w:tr w14:paraId="41411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D95F1">
            <w:pPr>
              <w:jc w:val="center"/>
              <w:rPr>
                <w:rFonts w:hint="eastAsia" w:ascii="宋体" w:hAnsi="宋体" w:eastAsia="宋体" w:cs="宋体"/>
                <w:b/>
                <w:bCs/>
                <w:i w:val="0"/>
                <w:iCs w:val="0"/>
                <w:color w:val="auto"/>
                <w:sz w:val="18"/>
                <w:szCs w:val="18"/>
                <w:highlight w:val="none"/>
                <w:u w:val="none"/>
              </w:rPr>
            </w:pPr>
          </w:p>
        </w:tc>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1E6AF5">
            <w:pPr>
              <w:jc w:val="center"/>
              <w:rPr>
                <w:rFonts w:hint="eastAsia" w:ascii="宋体" w:hAnsi="宋体" w:eastAsia="宋体" w:cs="宋体"/>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52D1CF">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0F4A66">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当年财政补助资金到位率</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23C23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147D4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311FA62">
            <w:pPr>
              <w:jc w:val="center"/>
              <w:rPr>
                <w:rFonts w:hint="eastAsia" w:ascii="宋体" w:hAnsi="宋体" w:eastAsia="宋体" w:cs="宋体"/>
                <w:i w:val="0"/>
                <w:iCs w:val="0"/>
                <w:color w:val="auto"/>
                <w:sz w:val="18"/>
                <w:szCs w:val="18"/>
                <w:highlight w:val="none"/>
                <w:u w:val="none"/>
              </w:rPr>
            </w:pPr>
          </w:p>
        </w:tc>
      </w:tr>
      <w:tr w14:paraId="7583B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A5E0FB">
            <w:pPr>
              <w:jc w:val="center"/>
              <w:rPr>
                <w:rFonts w:hint="eastAsia" w:ascii="宋体" w:hAnsi="宋体" w:eastAsia="宋体" w:cs="宋体"/>
                <w:b/>
                <w:bCs/>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C6BAD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DBA2D0">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77984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城乡居民医保自治区财政补助标准</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31881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不低于700元/（年.人）</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310E4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不低于700元/（年.人）</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FEE4AE0">
            <w:pPr>
              <w:jc w:val="center"/>
              <w:rPr>
                <w:rFonts w:hint="eastAsia" w:ascii="宋体" w:hAnsi="宋体" w:eastAsia="宋体" w:cs="宋体"/>
                <w:i w:val="0"/>
                <w:iCs w:val="0"/>
                <w:color w:val="auto"/>
                <w:sz w:val="18"/>
                <w:szCs w:val="18"/>
                <w:highlight w:val="none"/>
                <w:u w:val="none"/>
              </w:rPr>
            </w:pPr>
          </w:p>
        </w:tc>
      </w:tr>
      <w:tr w14:paraId="497AC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trPr>
        <w:tc>
          <w:tcPr>
            <w:tcW w:w="40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E0102">
            <w:pPr>
              <w:jc w:val="center"/>
              <w:rPr>
                <w:rFonts w:hint="eastAsia" w:ascii="宋体" w:hAnsi="宋体" w:eastAsia="宋体" w:cs="宋体"/>
                <w:b/>
                <w:bCs/>
                <w:i w:val="0"/>
                <w:iCs w:val="0"/>
                <w:color w:val="auto"/>
                <w:sz w:val="18"/>
                <w:szCs w:val="18"/>
                <w:highlight w:val="none"/>
                <w:u w:val="none"/>
              </w:rPr>
            </w:pP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3599FB">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40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49A87">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0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EBD58">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参保人员满意度</w:t>
            </w:r>
          </w:p>
        </w:tc>
        <w:tc>
          <w:tcPr>
            <w:tcW w:w="52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56024">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48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29A4C">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=99.99%</w:t>
            </w:r>
          </w:p>
        </w:tc>
        <w:tc>
          <w:tcPr>
            <w:tcW w:w="1862"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E449CA">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原因：年初目标值设置较低，满意度指标超额完成，造成偏差。改进措施：今后综合考虑项目情况，多参考历史完成值，进一步提高指标设置的精准性，降低指标偏差。</w:t>
            </w:r>
          </w:p>
        </w:tc>
      </w:tr>
    </w:tbl>
    <w:p w14:paraId="5DD630FD">
      <w:pPr>
        <w:rPr>
          <w:rFonts w:ascii="黑体" w:hAnsi="黑体" w:eastAsia="黑体" w:cs="黑体"/>
          <w:color w:val="auto"/>
          <w:highlight w:val="none"/>
        </w:rPr>
      </w:pPr>
      <w:r>
        <w:rPr>
          <w:rFonts w:hint="eastAsia" w:ascii="黑体" w:hAnsi="黑体" w:eastAsia="黑体" w:cs="黑体"/>
          <w:color w:val="auto"/>
          <w:highlight w:val="none"/>
        </w:rPr>
        <w:br w:type="page"/>
      </w:r>
    </w:p>
    <w:p w14:paraId="3F72B961">
      <w:pPr>
        <w:spacing w:line="596" w:lineRule="exact"/>
        <w:rPr>
          <w:rFonts w:ascii="黑体" w:hAnsi="黑体" w:eastAsia="黑体" w:cs="黑体"/>
          <w:color w:val="auto"/>
          <w:highlight w:val="none"/>
        </w:rPr>
        <w:sectPr>
          <w:pgSz w:w="11906" w:h="16838"/>
          <w:pgMar w:top="1701" w:right="1417" w:bottom="1701" w:left="1701" w:header="851" w:footer="992" w:gutter="0"/>
          <w:cols w:space="425" w:num="1"/>
          <w:docGrid w:type="lines" w:linePitch="312" w:charSpace="0"/>
        </w:sectPr>
      </w:pPr>
    </w:p>
    <w:p w14:paraId="6253BDEB">
      <w:pPr>
        <w:spacing w:line="596" w:lineRule="exact"/>
        <w:rPr>
          <w:rFonts w:ascii="黑体" w:hAnsi="黑体" w:eastAsia="黑体" w:cs="黑体"/>
          <w:color w:val="auto"/>
          <w:highlight w:val="none"/>
        </w:rPr>
      </w:pPr>
      <w:r>
        <w:rPr>
          <w:rFonts w:hint="eastAsia" w:ascii="黑体" w:hAnsi="黑体" w:eastAsia="黑体" w:cs="黑体"/>
          <w:color w:val="auto"/>
          <w:highlight w:val="none"/>
        </w:rPr>
        <w:t>附件2：</w:t>
      </w:r>
    </w:p>
    <w:p w14:paraId="233B0CA7">
      <w:pPr>
        <w:adjustRightInd w:val="0"/>
        <w:snapToGrid w:val="0"/>
        <w:spacing w:line="596" w:lineRule="exact"/>
        <w:jc w:val="center"/>
        <w:rPr>
          <w:rFonts w:ascii="方正仿宋_GB2312" w:hAnsi="方正仿宋_GB2312" w:eastAsia="方正仿宋_GB2312" w:cs="方正仿宋_GB2312"/>
          <w:b/>
          <w:bCs/>
          <w:color w:val="auto"/>
          <w:highlight w:val="none"/>
        </w:rPr>
      </w:pPr>
      <w:r>
        <w:rPr>
          <w:rFonts w:hint="eastAsia" w:ascii="方正仿宋_GB2312" w:hAnsi="方正仿宋_GB2312" w:eastAsia="方正仿宋_GB2312" w:cs="方正仿宋_GB2312"/>
          <w:b/>
          <w:bCs/>
          <w:color w:val="auto"/>
          <w:sz w:val="36"/>
          <w:szCs w:val="36"/>
          <w:highlight w:val="none"/>
        </w:rPr>
        <w:t>城乡居民医保自治区财政补助资金项目绩效评价指标体系及评分表</w:t>
      </w:r>
    </w:p>
    <w:p w14:paraId="0D8C4B74">
      <w:pPr>
        <w:spacing w:line="596" w:lineRule="exact"/>
        <w:rPr>
          <w:rFonts w:ascii="黑体" w:hAnsi="黑体" w:eastAsia="黑体" w:cs="黑体"/>
          <w:color w:val="auto"/>
          <w:highlight w:val="none"/>
        </w:rPr>
      </w:pPr>
    </w:p>
    <w:tbl>
      <w:tblPr>
        <w:tblStyle w:val="10"/>
        <w:tblW w:w="502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4"/>
        <w:gridCol w:w="576"/>
        <w:gridCol w:w="1597"/>
        <w:gridCol w:w="1485"/>
        <w:gridCol w:w="1531"/>
        <w:gridCol w:w="2777"/>
        <w:gridCol w:w="988"/>
        <w:gridCol w:w="2667"/>
        <w:gridCol w:w="1512"/>
      </w:tblGrid>
      <w:tr w14:paraId="37858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blHeader/>
        </w:trPr>
        <w:tc>
          <w:tcPr>
            <w:tcW w:w="209" w:type="pct"/>
            <w:vAlign w:val="center"/>
          </w:tcPr>
          <w:p w14:paraId="7F29740B">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一级指标</w:t>
            </w:r>
          </w:p>
        </w:tc>
        <w:tc>
          <w:tcPr>
            <w:tcW w:w="210" w:type="pct"/>
            <w:vAlign w:val="center"/>
          </w:tcPr>
          <w:p w14:paraId="4DE7956C">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二级指标</w:t>
            </w:r>
          </w:p>
        </w:tc>
        <w:tc>
          <w:tcPr>
            <w:tcW w:w="582" w:type="pct"/>
            <w:vAlign w:val="center"/>
          </w:tcPr>
          <w:p w14:paraId="70B7D8A8">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三级指标</w:t>
            </w:r>
          </w:p>
        </w:tc>
        <w:tc>
          <w:tcPr>
            <w:tcW w:w="541" w:type="pct"/>
            <w:vAlign w:val="center"/>
          </w:tcPr>
          <w:p w14:paraId="707FEF11">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标准值</w:t>
            </w:r>
          </w:p>
        </w:tc>
        <w:tc>
          <w:tcPr>
            <w:tcW w:w="558" w:type="pct"/>
            <w:vAlign w:val="center"/>
          </w:tcPr>
          <w:p w14:paraId="3BB0E642">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实际值</w:t>
            </w:r>
          </w:p>
          <w:p w14:paraId="06201D40">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w:t>
            </w:r>
            <w:r>
              <w:rPr>
                <w:rFonts w:hint="eastAsia" w:ascii="黑体" w:hAnsi="黑体" w:eastAsia="黑体" w:cs="黑体"/>
                <w:color w:val="auto"/>
                <w:sz w:val="18"/>
                <w:szCs w:val="18"/>
                <w:highlight w:val="none"/>
                <w:lang w:eastAsia="zh-CN"/>
              </w:rPr>
              <w:t>2025</w:t>
            </w:r>
            <w:r>
              <w:rPr>
                <w:rFonts w:hint="eastAsia" w:ascii="黑体" w:hAnsi="黑体" w:eastAsia="黑体" w:cs="黑体"/>
                <w:color w:val="auto"/>
                <w:sz w:val="18"/>
                <w:szCs w:val="18"/>
                <w:highlight w:val="none"/>
              </w:rPr>
              <w:t>年)</w:t>
            </w:r>
          </w:p>
        </w:tc>
        <w:tc>
          <w:tcPr>
            <w:tcW w:w="1012" w:type="pct"/>
            <w:vAlign w:val="center"/>
          </w:tcPr>
          <w:p w14:paraId="6A5AB44A">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评分标准</w:t>
            </w:r>
          </w:p>
        </w:tc>
        <w:tc>
          <w:tcPr>
            <w:tcW w:w="360" w:type="pct"/>
            <w:vAlign w:val="center"/>
          </w:tcPr>
          <w:p w14:paraId="41138A77">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分值</w:t>
            </w:r>
          </w:p>
        </w:tc>
        <w:tc>
          <w:tcPr>
            <w:tcW w:w="972" w:type="pct"/>
            <w:vAlign w:val="bottom"/>
          </w:tcPr>
          <w:p w14:paraId="571D6DED">
            <w:pPr>
              <w:pStyle w:val="12"/>
              <w:jc w:val="center"/>
              <w:rPr>
                <w:rFonts w:ascii="黑体" w:hAnsi="黑体" w:eastAsia="黑体" w:cs="黑体"/>
                <w:color w:val="auto"/>
                <w:sz w:val="18"/>
                <w:szCs w:val="18"/>
                <w:highlight w:val="none"/>
              </w:rPr>
            </w:pPr>
          </w:p>
          <w:p w14:paraId="13ACEA68">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指标说明</w:t>
            </w:r>
          </w:p>
          <w:p w14:paraId="51379EB1">
            <w:pPr>
              <w:pStyle w:val="12"/>
              <w:jc w:val="center"/>
              <w:rPr>
                <w:rFonts w:ascii="黑体" w:hAnsi="黑体" w:eastAsia="黑体" w:cs="黑体"/>
                <w:color w:val="auto"/>
                <w:sz w:val="18"/>
                <w:szCs w:val="18"/>
                <w:highlight w:val="none"/>
              </w:rPr>
            </w:pPr>
          </w:p>
        </w:tc>
        <w:tc>
          <w:tcPr>
            <w:tcW w:w="551" w:type="pct"/>
            <w:vAlign w:val="center"/>
          </w:tcPr>
          <w:p w14:paraId="1E976093">
            <w:pPr>
              <w:pStyle w:val="12"/>
              <w:jc w:val="center"/>
              <w:rPr>
                <w:rFonts w:ascii="黑体" w:hAnsi="黑体" w:eastAsia="黑体" w:cs="黑体"/>
                <w:color w:val="auto"/>
                <w:sz w:val="18"/>
                <w:szCs w:val="18"/>
                <w:highlight w:val="none"/>
              </w:rPr>
            </w:pPr>
            <w:r>
              <w:rPr>
                <w:rFonts w:hint="eastAsia" w:ascii="黑体" w:hAnsi="黑体" w:eastAsia="黑体" w:cs="黑体"/>
                <w:color w:val="auto"/>
                <w:sz w:val="18"/>
                <w:szCs w:val="18"/>
                <w:highlight w:val="none"/>
              </w:rPr>
              <w:t>得分</w:t>
            </w:r>
          </w:p>
        </w:tc>
      </w:tr>
      <w:tr w14:paraId="22ECC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2" w:hRule="atLeast"/>
        </w:trPr>
        <w:tc>
          <w:tcPr>
            <w:tcW w:w="209" w:type="pct"/>
            <w:vMerge w:val="restart"/>
            <w:vAlign w:val="center"/>
          </w:tcPr>
          <w:p w14:paraId="36C468A1">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项目</w:t>
            </w:r>
          </w:p>
          <w:p w14:paraId="1E7E7513">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w:t>
            </w:r>
          </w:p>
          <w:p w14:paraId="2EF9ECF0">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(23分)</w:t>
            </w:r>
          </w:p>
        </w:tc>
        <w:tc>
          <w:tcPr>
            <w:tcW w:w="210" w:type="pct"/>
            <w:vMerge w:val="restart"/>
            <w:vAlign w:val="center"/>
          </w:tcPr>
          <w:p w14:paraId="350765C3">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决策依据</w:t>
            </w:r>
          </w:p>
        </w:tc>
        <w:tc>
          <w:tcPr>
            <w:tcW w:w="582" w:type="pct"/>
          </w:tcPr>
          <w:p w14:paraId="06691DCA">
            <w:pPr>
              <w:rPr>
                <w:rFonts w:ascii="仿宋_GB2312" w:hAnsi="仿宋_GB2312" w:cs="仿宋_GB2312"/>
                <w:color w:val="auto"/>
                <w:sz w:val="21"/>
                <w:szCs w:val="21"/>
                <w:highlight w:val="none"/>
              </w:rPr>
            </w:pPr>
          </w:p>
          <w:p w14:paraId="5BD14960">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贯彻中央对医疗保障制度改革中有关城乡居民医保决策部署</w:t>
            </w:r>
          </w:p>
        </w:tc>
        <w:tc>
          <w:tcPr>
            <w:tcW w:w="541" w:type="pct"/>
            <w:vAlign w:val="center"/>
          </w:tcPr>
          <w:p w14:paraId="1AB0876A">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依据党中央和国务院深化医疗保障制度改革的意见和《“十四五”全民医疗保障规划》进行决策</w:t>
            </w:r>
          </w:p>
        </w:tc>
        <w:tc>
          <w:tcPr>
            <w:tcW w:w="558" w:type="pct"/>
          </w:tcPr>
          <w:p w14:paraId="29F64CFE">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贯彻中央对医疗保障制度改革中有关城乡居民医保决策部署</w:t>
            </w:r>
          </w:p>
        </w:tc>
        <w:tc>
          <w:tcPr>
            <w:tcW w:w="1012" w:type="pct"/>
            <w:vAlign w:val="center"/>
          </w:tcPr>
          <w:p w14:paraId="5F1FB91A">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①符合《中共中央国务院关于深化医疗保障制度改革的意见》(2分)</w:t>
            </w:r>
          </w:p>
          <w:p w14:paraId="7CAADFB0">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②印发《“十四五”全民医疗保障规划》</w:t>
            </w:r>
            <w:r>
              <w:rPr>
                <w:rFonts w:hint="eastAsia" w:ascii="仿宋_GB2312" w:hAnsi="仿宋_GB2312" w:cs="仿宋_GB2312"/>
                <w:color w:val="auto"/>
                <w:sz w:val="21"/>
                <w:szCs w:val="21"/>
                <w:highlight w:val="none"/>
                <w:lang w:eastAsia="zh-CN"/>
              </w:rPr>
              <w:t>2025</w:t>
            </w:r>
            <w:r>
              <w:rPr>
                <w:rFonts w:hint="eastAsia" w:ascii="仿宋_GB2312" w:hAnsi="仿宋_GB2312" w:cs="仿宋_GB2312"/>
                <w:color w:val="auto"/>
                <w:sz w:val="21"/>
                <w:szCs w:val="21"/>
                <w:highlight w:val="none"/>
              </w:rPr>
              <w:t>年度任务的相关文件(2分）</w:t>
            </w:r>
          </w:p>
        </w:tc>
        <w:tc>
          <w:tcPr>
            <w:tcW w:w="360" w:type="pct"/>
            <w:vAlign w:val="center"/>
          </w:tcPr>
          <w:p w14:paraId="33525153">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c>
          <w:tcPr>
            <w:tcW w:w="972" w:type="pct"/>
          </w:tcPr>
          <w:p w14:paraId="279C36E3">
            <w:pPr>
              <w:rPr>
                <w:rFonts w:ascii="仿宋_GB2312" w:hAnsi="仿宋_GB2312" w:cs="仿宋_GB2312"/>
                <w:color w:val="auto"/>
                <w:sz w:val="21"/>
                <w:szCs w:val="21"/>
                <w:highlight w:val="none"/>
              </w:rPr>
            </w:pPr>
          </w:p>
          <w:p w14:paraId="7BD076C6">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用以反映和考核各级医保部门贯彻中央医疗保障制度改革和《“十四五”全民医疗保障规划》有关城乡居民医保决策部署情况</w:t>
            </w:r>
          </w:p>
        </w:tc>
        <w:tc>
          <w:tcPr>
            <w:tcW w:w="551" w:type="pct"/>
            <w:vAlign w:val="center"/>
          </w:tcPr>
          <w:p w14:paraId="5753EA2E">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r>
      <w:tr w14:paraId="7D17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 w:hRule="atLeast"/>
        </w:trPr>
        <w:tc>
          <w:tcPr>
            <w:tcW w:w="209" w:type="pct"/>
            <w:vMerge w:val="continue"/>
            <w:vAlign w:val="center"/>
          </w:tcPr>
          <w:p w14:paraId="3870F209">
            <w:pPr>
              <w:rPr>
                <w:rFonts w:ascii="仿宋_GB2312" w:hAnsi="仿宋_GB2312" w:cs="仿宋_GB2312"/>
                <w:color w:val="auto"/>
                <w:sz w:val="21"/>
                <w:szCs w:val="21"/>
                <w:highlight w:val="none"/>
              </w:rPr>
            </w:pPr>
          </w:p>
        </w:tc>
        <w:tc>
          <w:tcPr>
            <w:tcW w:w="210" w:type="pct"/>
            <w:vMerge w:val="continue"/>
            <w:vAlign w:val="center"/>
          </w:tcPr>
          <w:p w14:paraId="030D3C5F">
            <w:pPr>
              <w:rPr>
                <w:rFonts w:ascii="仿宋_GB2312" w:hAnsi="仿宋_GB2312" w:cs="仿宋_GB2312"/>
                <w:color w:val="auto"/>
                <w:sz w:val="21"/>
                <w:szCs w:val="21"/>
                <w:highlight w:val="none"/>
              </w:rPr>
            </w:pPr>
          </w:p>
        </w:tc>
        <w:tc>
          <w:tcPr>
            <w:tcW w:w="582" w:type="pct"/>
            <w:vAlign w:val="center"/>
          </w:tcPr>
          <w:p w14:paraId="628AB709">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执行预算绩效管理和资金管理办法</w:t>
            </w:r>
          </w:p>
        </w:tc>
        <w:tc>
          <w:tcPr>
            <w:tcW w:w="541" w:type="pct"/>
            <w:vAlign w:val="center"/>
          </w:tcPr>
          <w:p w14:paraId="556362B6">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决策符合预算绩效管理要求和资金管理办法</w:t>
            </w:r>
          </w:p>
        </w:tc>
        <w:tc>
          <w:tcPr>
            <w:tcW w:w="558" w:type="pct"/>
            <w:vAlign w:val="center"/>
          </w:tcPr>
          <w:p w14:paraId="3825BB1B">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 xml:space="preserve"> 执行预算绩效管理和资金管理办法  </w:t>
            </w:r>
          </w:p>
        </w:tc>
        <w:tc>
          <w:tcPr>
            <w:tcW w:w="1012" w:type="pct"/>
            <w:vAlign w:val="center"/>
          </w:tcPr>
          <w:p w14:paraId="32594999">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①符合《国家医疗保障局关于全面实施预算绩效管理的意见》（1分）</w:t>
            </w:r>
          </w:p>
          <w:p w14:paraId="35E9FCC3">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②符合《中央财政城乡居民基本医疗保险补助资金管理办法》以及各省市制定的相关管理办法（1分）</w:t>
            </w:r>
          </w:p>
        </w:tc>
        <w:tc>
          <w:tcPr>
            <w:tcW w:w="360" w:type="pct"/>
            <w:vAlign w:val="center"/>
          </w:tcPr>
          <w:p w14:paraId="47660DF8">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c>
          <w:tcPr>
            <w:tcW w:w="972" w:type="pct"/>
            <w:vAlign w:val="center"/>
          </w:tcPr>
          <w:p w14:paraId="1CD90CC2">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用以反映和考核决策是否符合预算绩效管理要求和资金管理办法</w:t>
            </w:r>
          </w:p>
        </w:tc>
        <w:tc>
          <w:tcPr>
            <w:tcW w:w="551" w:type="pct"/>
            <w:vAlign w:val="center"/>
          </w:tcPr>
          <w:p w14:paraId="68275950">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r>
      <w:tr w14:paraId="6F6D5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209" w:type="pct"/>
            <w:vMerge w:val="continue"/>
            <w:vAlign w:val="center"/>
          </w:tcPr>
          <w:p w14:paraId="7F652F89">
            <w:pPr>
              <w:rPr>
                <w:rFonts w:ascii="仿宋_GB2312" w:hAnsi="仿宋_GB2312" w:cs="仿宋_GB2312"/>
                <w:color w:val="auto"/>
                <w:sz w:val="21"/>
                <w:szCs w:val="21"/>
                <w:highlight w:val="none"/>
              </w:rPr>
            </w:pPr>
          </w:p>
        </w:tc>
        <w:tc>
          <w:tcPr>
            <w:tcW w:w="210" w:type="pct"/>
            <w:vAlign w:val="center"/>
          </w:tcPr>
          <w:p w14:paraId="2E827D6D">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决策过程</w:t>
            </w:r>
          </w:p>
        </w:tc>
        <w:tc>
          <w:tcPr>
            <w:tcW w:w="582" w:type="pct"/>
            <w:vAlign w:val="center"/>
          </w:tcPr>
          <w:p w14:paraId="54D69FAC">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决策程序规范</w:t>
            </w:r>
          </w:p>
        </w:tc>
        <w:tc>
          <w:tcPr>
            <w:tcW w:w="541" w:type="pct"/>
            <w:vAlign w:val="center"/>
          </w:tcPr>
          <w:p w14:paraId="15C29EDC">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程序合规完整</w:t>
            </w:r>
          </w:p>
        </w:tc>
        <w:tc>
          <w:tcPr>
            <w:tcW w:w="558" w:type="pct"/>
            <w:vAlign w:val="center"/>
          </w:tcPr>
          <w:p w14:paraId="535CA1D5">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决策程序规范</w:t>
            </w:r>
          </w:p>
        </w:tc>
        <w:tc>
          <w:tcPr>
            <w:tcW w:w="1012" w:type="pct"/>
            <w:vAlign w:val="center"/>
          </w:tcPr>
          <w:p w14:paraId="5C6D6E50">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资金分配按规定履行报批程序，审批文件和手续齐全</w:t>
            </w:r>
          </w:p>
        </w:tc>
        <w:tc>
          <w:tcPr>
            <w:tcW w:w="360" w:type="pct"/>
            <w:vAlign w:val="center"/>
          </w:tcPr>
          <w:p w14:paraId="5105E63B">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c>
          <w:tcPr>
            <w:tcW w:w="972" w:type="pct"/>
            <w:vAlign w:val="center"/>
          </w:tcPr>
          <w:p w14:paraId="13B0DA0F">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用以反映和考核项目决策规范程度</w:t>
            </w:r>
          </w:p>
        </w:tc>
        <w:tc>
          <w:tcPr>
            <w:tcW w:w="551" w:type="pct"/>
            <w:vAlign w:val="center"/>
          </w:tcPr>
          <w:p w14:paraId="78502969">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r>
      <w:tr w14:paraId="1EC97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0" w:hRule="atLeast"/>
        </w:trPr>
        <w:tc>
          <w:tcPr>
            <w:tcW w:w="209" w:type="pct"/>
            <w:vMerge w:val="continue"/>
            <w:vAlign w:val="center"/>
          </w:tcPr>
          <w:p w14:paraId="09BF0142">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88</w:t>
            </w:r>
          </w:p>
        </w:tc>
        <w:tc>
          <w:tcPr>
            <w:tcW w:w="210" w:type="pct"/>
            <w:vMerge w:val="restart"/>
            <w:vAlign w:val="center"/>
          </w:tcPr>
          <w:p w14:paraId="15812D04">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绩效目标</w:t>
            </w:r>
          </w:p>
        </w:tc>
        <w:tc>
          <w:tcPr>
            <w:tcW w:w="582" w:type="pct"/>
            <w:vAlign w:val="center"/>
          </w:tcPr>
          <w:p w14:paraId="6C704248">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绩效目标设置科学</w:t>
            </w:r>
          </w:p>
        </w:tc>
        <w:tc>
          <w:tcPr>
            <w:tcW w:w="541" w:type="pct"/>
            <w:vAlign w:val="center"/>
          </w:tcPr>
          <w:p w14:paraId="234FDCBE">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遵照财政部和国家医疗保障局下达的年度总体目标和具体绩效指标</w:t>
            </w:r>
          </w:p>
        </w:tc>
        <w:tc>
          <w:tcPr>
            <w:tcW w:w="558" w:type="pct"/>
            <w:vAlign w:val="center"/>
          </w:tcPr>
          <w:p w14:paraId="00736FCF">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绩效目标设置科学</w:t>
            </w:r>
          </w:p>
        </w:tc>
        <w:tc>
          <w:tcPr>
            <w:tcW w:w="1012" w:type="pct"/>
            <w:vAlign w:val="center"/>
          </w:tcPr>
          <w:p w14:paraId="5100E0D5">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①体现“巩固参保率、稳步提高保障水平、实现基金收支平衡”等年度总体目标的基本要素（2分）</w:t>
            </w:r>
          </w:p>
          <w:p w14:paraId="185A404A">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②明确产出指标、效益指标、满意度指标等绩效指标要求（2分）</w:t>
            </w:r>
          </w:p>
        </w:tc>
        <w:tc>
          <w:tcPr>
            <w:tcW w:w="360" w:type="pct"/>
            <w:vAlign w:val="center"/>
          </w:tcPr>
          <w:p w14:paraId="27F326FA">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c>
          <w:tcPr>
            <w:tcW w:w="972" w:type="pct"/>
            <w:vAlign w:val="center"/>
          </w:tcPr>
          <w:p w14:paraId="52CCF5D7">
            <w:pP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用以反映绩效目标的设置情况</w:t>
            </w:r>
          </w:p>
        </w:tc>
        <w:tc>
          <w:tcPr>
            <w:tcW w:w="551" w:type="pct"/>
            <w:vAlign w:val="center"/>
          </w:tcPr>
          <w:p w14:paraId="1F6009A6">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r>
      <w:tr w14:paraId="1A5F8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8" w:hRule="atLeast"/>
        </w:trPr>
        <w:tc>
          <w:tcPr>
            <w:tcW w:w="209" w:type="pct"/>
            <w:vMerge w:val="continue"/>
            <w:vAlign w:val="center"/>
          </w:tcPr>
          <w:p w14:paraId="0DFD62F9">
            <w:pPr>
              <w:pStyle w:val="12"/>
              <w:spacing w:line="596" w:lineRule="exact"/>
              <w:jc w:val="center"/>
              <w:rPr>
                <w:rFonts w:asciiTheme="majorEastAsia" w:hAnsiTheme="majorEastAsia" w:eastAsiaTheme="majorEastAsia"/>
                <w:color w:val="auto"/>
                <w:sz w:val="16"/>
                <w:szCs w:val="16"/>
                <w:highlight w:val="none"/>
              </w:rPr>
            </w:pPr>
          </w:p>
        </w:tc>
        <w:tc>
          <w:tcPr>
            <w:tcW w:w="210" w:type="pct"/>
            <w:vMerge w:val="continue"/>
            <w:vAlign w:val="center"/>
          </w:tcPr>
          <w:p w14:paraId="4DBD973F">
            <w:pPr>
              <w:pStyle w:val="12"/>
              <w:spacing w:line="596" w:lineRule="exact"/>
              <w:jc w:val="center"/>
              <w:rPr>
                <w:rFonts w:asciiTheme="majorEastAsia" w:hAnsiTheme="majorEastAsia" w:eastAsiaTheme="majorEastAsia"/>
                <w:color w:val="auto"/>
                <w:sz w:val="21"/>
                <w:szCs w:val="21"/>
                <w:highlight w:val="none"/>
              </w:rPr>
            </w:pPr>
          </w:p>
        </w:tc>
        <w:tc>
          <w:tcPr>
            <w:tcW w:w="582" w:type="pct"/>
            <w:vAlign w:val="center"/>
          </w:tcPr>
          <w:p w14:paraId="77A84990">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绩效目标分解细化</w:t>
            </w:r>
          </w:p>
        </w:tc>
        <w:tc>
          <w:tcPr>
            <w:tcW w:w="541" w:type="pct"/>
            <w:vAlign w:val="center"/>
          </w:tcPr>
          <w:p w14:paraId="0A10B244">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对财政部和国家医疗保障局下达的年度总体目标结合实际进行分解细化</w:t>
            </w:r>
          </w:p>
        </w:tc>
        <w:tc>
          <w:tcPr>
            <w:tcW w:w="558" w:type="pct"/>
            <w:vAlign w:val="center"/>
          </w:tcPr>
          <w:p w14:paraId="5D006606">
            <w:pPr>
              <w:pStyle w:val="12"/>
              <w:jc w:val="center"/>
              <w:rPr>
                <w:rFonts w:ascii="仿宋_GB2312" w:hAnsi="仿宋_GB2312" w:cs="仿宋_GB2312"/>
                <w:b/>
                <w:bCs/>
                <w:color w:val="auto"/>
                <w:sz w:val="21"/>
                <w:szCs w:val="21"/>
                <w:highlight w:val="none"/>
              </w:rPr>
            </w:pPr>
            <w:r>
              <w:rPr>
                <w:rFonts w:hint="eastAsia" w:ascii="仿宋_GB2312" w:hAnsi="仿宋_GB2312" w:cs="仿宋_GB2312"/>
                <w:color w:val="auto"/>
                <w:sz w:val="21"/>
                <w:szCs w:val="21"/>
                <w:highlight w:val="none"/>
              </w:rPr>
              <w:t>绩效目标分解细化</w:t>
            </w:r>
          </w:p>
        </w:tc>
        <w:tc>
          <w:tcPr>
            <w:tcW w:w="1012" w:type="pct"/>
            <w:vAlign w:val="center"/>
          </w:tcPr>
          <w:p w14:paraId="77FA1125">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①省级按照要求同步细化分解下达绩效目标（1分）</w:t>
            </w:r>
          </w:p>
          <w:p w14:paraId="15FD68AA">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②细化分解下达的绩效目标与财政部和国家医保局要求一致（1分）</w:t>
            </w:r>
          </w:p>
        </w:tc>
        <w:tc>
          <w:tcPr>
            <w:tcW w:w="360" w:type="pct"/>
            <w:vAlign w:val="center"/>
          </w:tcPr>
          <w:p w14:paraId="3205E9E4">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c>
          <w:tcPr>
            <w:tcW w:w="972" w:type="pct"/>
            <w:vAlign w:val="center"/>
          </w:tcPr>
          <w:p w14:paraId="53DD04C9">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用以反映绩效目标的分解情况</w:t>
            </w:r>
          </w:p>
        </w:tc>
        <w:tc>
          <w:tcPr>
            <w:tcW w:w="551" w:type="pct"/>
            <w:vAlign w:val="center"/>
          </w:tcPr>
          <w:p w14:paraId="4756C3F2">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w:t>
            </w:r>
          </w:p>
        </w:tc>
      </w:tr>
      <w:tr w14:paraId="6FCEB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1" w:hRule="atLeast"/>
        </w:trPr>
        <w:tc>
          <w:tcPr>
            <w:tcW w:w="209" w:type="pct"/>
            <w:vMerge w:val="continue"/>
            <w:vAlign w:val="center"/>
          </w:tcPr>
          <w:p w14:paraId="5A24A4BE">
            <w:pPr>
              <w:pStyle w:val="12"/>
              <w:spacing w:line="596" w:lineRule="exact"/>
              <w:jc w:val="center"/>
              <w:rPr>
                <w:rFonts w:asciiTheme="majorEastAsia" w:hAnsiTheme="majorEastAsia" w:eastAsiaTheme="majorEastAsia"/>
                <w:color w:val="auto"/>
                <w:sz w:val="16"/>
                <w:szCs w:val="16"/>
                <w:highlight w:val="none"/>
              </w:rPr>
            </w:pPr>
          </w:p>
        </w:tc>
        <w:tc>
          <w:tcPr>
            <w:tcW w:w="210" w:type="pct"/>
            <w:vMerge w:val="restart"/>
            <w:vAlign w:val="center"/>
          </w:tcPr>
          <w:p w14:paraId="4481FE81">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资金分配</w:t>
            </w:r>
          </w:p>
        </w:tc>
        <w:tc>
          <w:tcPr>
            <w:tcW w:w="582" w:type="pct"/>
            <w:vAlign w:val="center"/>
          </w:tcPr>
          <w:p w14:paraId="435CCDF3">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资金分配规范性</w:t>
            </w:r>
          </w:p>
        </w:tc>
        <w:tc>
          <w:tcPr>
            <w:tcW w:w="541" w:type="pct"/>
            <w:vAlign w:val="center"/>
          </w:tcPr>
          <w:p w14:paraId="3BB4E341">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按规定时限分配下达资金</w:t>
            </w:r>
          </w:p>
        </w:tc>
        <w:tc>
          <w:tcPr>
            <w:tcW w:w="558" w:type="pct"/>
            <w:vAlign w:val="center"/>
          </w:tcPr>
          <w:p w14:paraId="1B21B4C9">
            <w:pPr>
              <w:pStyle w:val="12"/>
              <w:jc w:val="center"/>
              <w:rPr>
                <w:rFonts w:ascii="仿宋_GB2312" w:hAnsi="仿宋_GB2312" w:cs="仿宋_GB2312"/>
                <w:b/>
                <w:bCs/>
                <w:color w:val="auto"/>
                <w:sz w:val="21"/>
                <w:szCs w:val="21"/>
                <w:highlight w:val="none"/>
              </w:rPr>
            </w:pPr>
            <w:r>
              <w:rPr>
                <w:rFonts w:hint="eastAsia" w:ascii="仿宋_GB2312" w:hAnsi="仿宋_GB2312" w:cs="仿宋_GB2312"/>
                <w:color w:val="auto"/>
                <w:sz w:val="21"/>
                <w:szCs w:val="21"/>
                <w:highlight w:val="none"/>
              </w:rPr>
              <w:t>资金分配规范</w:t>
            </w:r>
          </w:p>
        </w:tc>
        <w:tc>
          <w:tcPr>
            <w:tcW w:w="1012" w:type="pct"/>
            <w:vAlign w:val="center"/>
          </w:tcPr>
          <w:p w14:paraId="5FCBC804">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①省级财政部门收到中央财政转移支付资金预算后,在30日内会同医保部门正式下达到本行政区域县级以上各级财政部门和医保部门（2分）</w:t>
            </w:r>
          </w:p>
          <w:p w14:paraId="33B07DF4">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②中央及地方财政补助资金，在每年12月底前全部支付至统筹地区医保基金财政专户（2分）</w:t>
            </w:r>
          </w:p>
        </w:tc>
        <w:tc>
          <w:tcPr>
            <w:tcW w:w="360" w:type="pct"/>
            <w:vAlign w:val="center"/>
          </w:tcPr>
          <w:p w14:paraId="73F49F53">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c>
          <w:tcPr>
            <w:tcW w:w="972" w:type="pct"/>
            <w:vAlign w:val="center"/>
          </w:tcPr>
          <w:p w14:paraId="6D39F63A">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用以反映资金分配的规范性</w:t>
            </w:r>
          </w:p>
        </w:tc>
        <w:tc>
          <w:tcPr>
            <w:tcW w:w="551" w:type="pct"/>
            <w:vAlign w:val="center"/>
          </w:tcPr>
          <w:p w14:paraId="64389C7D">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r>
      <w:tr w14:paraId="16741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209" w:type="pct"/>
            <w:vMerge w:val="continue"/>
            <w:vAlign w:val="center"/>
          </w:tcPr>
          <w:p w14:paraId="49C54B01">
            <w:pPr>
              <w:pStyle w:val="12"/>
              <w:spacing w:line="596" w:lineRule="exact"/>
              <w:jc w:val="center"/>
              <w:rPr>
                <w:rFonts w:asciiTheme="majorEastAsia" w:hAnsiTheme="majorEastAsia" w:eastAsiaTheme="majorEastAsia"/>
                <w:color w:val="auto"/>
                <w:sz w:val="16"/>
                <w:szCs w:val="16"/>
                <w:highlight w:val="none"/>
              </w:rPr>
            </w:pPr>
          </w:p>
        </w:tc>
        <w:tc>
          <w:tcPr>
            <w:tcW w:w="210" w:type="pct"/>
            <w:vMerge w:val="continue"/>
            <w:vAlign w:val="center"/>
          </w:tcPr>
          <w:p w14:paraId="6A31F313">
            <w:pPr>
              <w:pStyle w:val="12"/>
              <w:spacing w:line="596" w:lineRule="exact"/>
              <w:jc w:val="center"/>
              <w:rPr>
                <w:rFonts w:ascii="仿宋_GB2312" w:hAnsi="仿宋_GB2312" w:cs="仿宋_GB2312"/>
                <w:color w:val="auto"/>
                <w:sz w:val="21"/>
                <w:szCs w:val="21"/>
                <w:highlight w:val="none"/>
              </w:rPr>
            </w:pPr>
          </w:p>
        </w:tc>
        <w:tc>
          <w:tcPr>
            <w:tcW w:w="582" w:type="pct"/>
            <w:vAlign w:val="center"/>
          </w:tcPr>
          <w:p w14:paraId="5F03EFD4">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资金分配合理性</w:t>
            </w:r>
          </w:p>
        </w:tc>
        <w:tc>
          <w:tcPr>
            <w:tcW w:w="541" w:type="pct"/>
            <w:vAlign w:val="center"/>
          </w:tcPr>
          <w:p w14:paraId="06BEFCCC">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符合预算管理和城乡居民基本医疗保险补助资金管理要求</w:t>
            </w:r>
          </w:p>
        </w:tc>
        <w:tc>
          <w:tcPr>
            <w:tcW w:w="558" w:type="pct"/>
            <w:vAlign w:val="center"/>
          </w:tcPr>
          <w:p w14:paraId="4BB541C8">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资金分配合理</w:t>
            </w:r>
          </w:p>
        </w:tc>
        <w:tc>
          <w:tcPr>
            <w:tcW w:w="1012" w:type="pct"/>
            <w:vAlign w:val="center"/>
          </w:tcPr>
          <w:p w14:paraId="28C891BF">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①资金分配方案符合财政部和国家医疗保障局下达的文件要求（1分）</w:t>
            </w:r>
          </w:p>
          <w:p w14:paraId="38466108">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②分配方法、支出内容符合省级实施细则要求（1分）</w:t>
            </w:r>
          </w:p>
          <w:p w14:paraId="06FBDC30">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③资金分配与绩效评价结果挂钩（3分）</w:t>
            </w:r>
          </w:p>
        </w:tc>
        <w:tc>
          <w:tcPr>
            <w:tcW w:w="360" w:type="pct"/>
            <w:vAlign w:val="center"/>
          </w:tcPr>
          <w:p w14:paraId="2B243F9A">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5</w:t>
            </w:r>
          </w:p>
        </w:tc>
        <w:tc>
          <w:tcPr>
            <w:tcW w:w="972" w:type="pct"/>
            <w:vAlign w:val="center"/>
          </w:tcPr>
          <w:p w14:paraId="3D85060C">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用以反映预算资金分配的合理性</w:t>
            </w:r>
          </w:p>
        </w:tc>
        <w:tc>
          <w:tcPr>
            <w:tcW w:w="551" w:type="pct"/>
            <w:vAlign w:val="center"/>
          </w:tcPr>
          <w:p w14:paraId="4E374549">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5</w:t>
            </w:r>
          </w:p>
        </w:tc>
      </w:tr>
      <w:tr w14:paraId="65CDB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6" w:hRule="atLeast"/>
        </w:trPr>
        <w:tc>
          <w:tcPr>
            <w:tcW w:w="209" w:type="pct"/>
            <w:vMerge w:val="restart"/>
            <w:vAlign w:val="center"/>
          </w:tcPr>
          <w:p w14:paraId="3D862B4C">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过程</w:t>
            </w:r>
          </w:p>
          <w:p w14:paraId="02E82BE0">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管理</w:t>
            </w:r>
          </w:p>
          <w:p w14:paraId="4942A110">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(20分)</w:t>
            </w:r>
          </w:p>
        </w:tc>
        <w:tc>
          <w:tcPr>
            <w:tcW w:w="210" w:type="pct"/>
            <w:vMerge w:val="restart"/>
            <w:vAlign w:val="center"/>
          </w:tcPr>
          <w:p w14:paraId="1421D11B">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资金管理</w:t>
            </w:r>
          </w:p>
        </w:tc>
        <w:tc>
          <w:tcPr>
            <w:tcW w:w="582" w:type="pct"/>
            <w:vAlign w:val="center"/>
          </w:tcPr>
          <w:p w14:paraId="36C22489">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基金使用合规性</w:t>
            </w:r>
          </w:p>
        </w:tc>
        <w:tc>
          <w:tcPr>
            <w:tcW w:w="541" w:type="pct"/>
            <w:vAlign w:val="center"/>
          </w:tcPr>
          <w:p w14:paraId="302A83DC">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专账核算专款专用</w:t>
            </w:r>
          </w:p>
        </w:tc>
        <w:tc>
          <w:tcPr>
            <w:tcW w:w="558" w:type="pct"/>
            <w:vAlign w:val="center"/>
          </w:tcPr>
          <w:p w14:paraId="2133954D">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基金使用合规</w:t>
            </w:r>
          </w:p>
        </w:tc>
        <w:tc>
          <w:tcPr>
            <w:tcW w:w="1012" w:type="pct"/>
            <w:vAlign w:val="center"/>
          </w:tcPr>
          <w:p w14:paraId="6D9A30A8">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统筹地区医保财政专户专账核算、专款专用（4分），达不到其中1项的扣2分，扣完为止</w:t>
            </w:r>
          </w:p>
        </w:tc>
        <w:tc>
          <w:tcPr>
            <w:tcW w:w="360" w:type="pct"/>
            <w:vAlign w:val="center"/>
          </w:tcPr>
          <w:p w14:paraId="69376F75">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c>
          <w:tcPr>
            <w:tcW w:w="972" w:type="pct"/>
            <w:vAlign w:val="center"/>
          </w:tcPr>
          <w:p w14:paraId="7E9830B3">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用以反映基金专户专项使用资金情况</w:t>
            </w:r>
          </w:p>
        </w:tc>
        <w:tc>
          <w:tcPr>
            <w:tcW w:w="551" w:type="pct"/>
            <w:vAlign w:val="center"/>
          </w:tcPr>
          <w:p w14:paraId="3678CE62">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r>
      <w:tr w14:paraId="555424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trPr>
        <w:tc>
          <w:tcPr>
            <w:tcW w:w="209" w:type="pct"/>
            <w:vMerge w:val="continue"/>
            <w:vAlign w:val="center"/>
          </w:tcPr>
          <w:p w14:paraId="76A9D9E7">
            <w:pPr>
              <w:pStyle w:val="12"/>
              <w:spacing w:line="596" w:lineRule="exact"/>
              <w:jc w:val="center"/>
              <w:rPr>
                <w:rFonts w:asciiTheme="majorEastAsia" w:hAnsiTheme="majorEastAsia" w:eastAsiaTheme="majorEastAsia"/>
                <w:color w:val="auto"/>
                <w:sz w:val="21"/>
                <w:szCs w:val="21"/>
                <w:highlight w:val="none"/>
              </w:rPr>
            </w:pPr>
          </w:p>
        </w:tc>
        <w:tc>
          <w:tcPr>
            <w:tcW w:w="210" w:type="pct"/>
            <w:vMerge w:val="continue"/>
            <w:vAlign w:val="center"/>
          </w:tcPr>
          <w:p w14:paraId="0EC2EF5D">
            <w:pPr>
              <w:pStyle w:val="12"/>
              <w:spacing w:line="596" w:lineRule="exact"/>
              <w:jc w:val="center"/>
              <w:rPr>
                <w:rFonts w:asciiTheme="majorEastAsia" w:hAnsiTheme="majorEastAsia" w:eastAsiaTheme="majorEastAsia"/>
                <w:color w:val="auto"/>
                <w:sz w:val="21"/>
                <w:szCs w:val="21"/>
                <w:highlight w:val="none"/>
              </w:rPr>
            </w:pPr>
          </w:p>
        </w:tc>
        <w:tc>
          <w:tcPr>
            <w:tcW w:w="582" w:type="pct"/>
            <w:vAlign w:val="center"/>
          </w:tcPr>
          <w:p w14:paraId="58B3A9FF">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基金监管有效性</w:t>
            </w:r>
          </w:p>
        </w:tc>
        <w:tc>
          <w:tcPr>
            <w:tcW w:w="541" w:type="pct"/>
            <w:vAlign w:val="center"/>
          </w:tcPr>
          <w:p w14:paraId="7D7235FC">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全面提升基金监管综合能力</w:t>
            </w:r>
          </w:p>
        </w:tc>
        <w:tc>
          <w:tcPr>
            <w:tcW w:w="558" w:type="pct"/>
            <w:vAlign w:val="center"/>
          </w:tcPr>
          <w:p w14:paraId="56B717F2">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基金监管有效</w:t>
            </w:r>
          </w:p>
        </w:tc>
        <w:tc>
          <w:tcPr>
            <w:tcW w:w="1012" w:type="pct"/>
            <w:vAlign w:val="center"/>
          </w:tcPr>
          <w:p w14:paraId="183B0984">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按照《国家医疗保障局关于做好基金监管综合评价工作的通知》（医保发〔2022〕31号）进行综合评价</w:t>
            </w:r>
          </w:p>
        </w:tc>
        <w:tc>
          <w:tcPr>
            <w:tcW w:w="360" w:type="pct"/>
            <w:vAlign w:val="center"/>
          </w:tcPr>
          <w:p w14:paraId="49E7C7DD">
            <w:pPr>
              <w:widowControl/>
              <w:spacing w:before="59" w:line="240" w:lineRule="exact"/>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c>
          <w:tcPr>
            <w:tcW w:w="972" w:type="pct"/>
            <w:vAlign w:val="center"/>
          </w:tcPr>
          <w:p w14:paraId="51F1EEE7">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用以反映各级医保部门基金监管综合情况</w:t>
            </w:r>
          </w:p>
        </w:tc>
        <w:tc>
          <w:tcPr>
            <w:tcW w:w="551" w:type="pct"/>
            <w:vAlign w:val="center"/>
          </w:tcPr>
          <w:p w14:paraId="073368C5">
            <w:pPr>
              <w:spacing w:line="240" w:lineRule="exact"/>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w:t>
            </w:r>
          </w:p>
        </w:tc>
      </w:tr>
      <w:tr w14:paraId="12B2C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209" w:type="pct"/>
            <w:vMerge w:val="continue"/>
            <w:vAlign w:val="center"/>
          </w:tcPr>
          <w:p w14:paraId="1A817FA3">
            <w:pPr>
              <w:pStyle w:val="12"/>
              <w:spacing w:line="596" w:lineRule="exact"/>
              <w:jc w:val="center"/>
              <w:rPr>
                <w:rFonts w:asciiTheme="majorEastAsia" w:hAnsiTheme="majorEastAsia" w:eastAsiaTheme="majorEastAsia"/>
                <w:color w:val="auto"/>
                <w:sz w:val="21"/>
                <w:szCs w:val="21"/>
                <w:highlight w:val="none"/>
              </w:rPr>
            </w:pPr>
          </w:p>
        </w:tc>
        <w:tc>
          <w:tcPr>
            <w:tcW w:w="210" w:type="pct"/>
            <w:vMerge w:val="restart"/>
            <w:vAlign w:val="center"/>
          </w:tcPr>
          <w:p w14:paraId="3852FB73">
            <w:pPr>
              <w:jc w:val="center"/>
              <w:rPr>
                <w:rFonts w:asciiTheme="majorEastAsia" w:hAnsiTheme="majorEastAsia" w:eastAsiaTheme="majorEastAsia"/>
                <w:color w:val="auto"/>
                <w:sz w:val="21"/>
                <w:szCs w:val="21"/>
                <w:highlight w:val="none"/>
              </w:rPr>
            </w:pPr>
            <w:r>
              <w:rPr>
                <w:rFonts w:hint="eastAsia" w:ascii="仿宋_GB2312" w:hAnsi="仿宋_GB2312" w:cs="仿宋_GB2312"/>
                <w:color w:val="auto"/>
                <w:sz w:val="21"/>
                <w:szCs w:val="21"/>
                <w:highlight w:val="none"/>
              </w:rPr>
              <w:t>组织管理</w:t>
            </w:r>
          </w:p>
        </w:tc>
        <w:tc>
          <w:tcPr>
            <w:tcW w:w="582" w:type="pct"/>
            <w:vAlign w:val="center"/>
          </w:tcPr>
          <w:p w14:paraId="414EA2EA">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医保统计、基金报表准确性、及时性、完整性</w:t>
            </w:r>
          </w:p>
        </w:tc>
        <w:tc>
          <w:tcPr>
            <w:tcW w:w="541" w:type="pct"/>
            <w:vAlign w:val="center"/>
          </w:tcPr>
          <w:p w14:paraId="3FE13380">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医保基金统计、基金报表上报准确完整、及时有效</w:t>
            </w:r>
          </w:p>
        </w:tc>
        <w:tc>
          <w:tcPr>
            <w:tcW w:w="558" w:type="pct"/>
            <w:vAlign w:val="center"/>
          </w:tcPr>
          <w:p w14:paraId="4991CC56">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医保统计、基金报表准确、及时、完整</w:t>
            </w:r>
          </w:p>
        </w:tc>
        <w:tc>
          <w:tcPr>
            <w:tcW w:w="1012" w:type="pct"/>
            <w:vAlign w:val="center"/>
          </w:tcPr>
          <w:p w14:paraId="006DE05C">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能够按时、完整上报医保基金统计、基金报表。上报报表不存在虚报、瞒报、误报等现象。对异常数据有说明解释</w:t>
            </w:r>
          </w:p>
        </w:tc>
        <w:tc>
          <w:tcPr>
            <w:tcW w:w="360" w:type="pct"/>
            <w:vAlign w:val="center"/>
          </w:tcPr>
          <w:p w14:paraId="662CB037">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6</w:t>
            </w:r>
          </w:p>
        </w:tc>
        <w:tc>
          <w:tcPr>
            <w:tcW w:w="972" w:type="pct"/>
            <w:vAlign w:val="center"/>
          </w:tcPr>
          <w:p w14:paraId="291A6A26">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用以反映医保基金、统计报表质量</w:t>
            </w:r>
          </w:p>
        </w:tc>
        <w:tc>
          <w:tcPr>
            <w:tcW w:w="551" w:type="pct"/>
            <w:vAlign w:val="center"/>
          </w:tcPr>
          <w:p w14:paraId="04C3B350">
            <w:pPr>
              <w:spacing w:line="240" w:lineRule="exact"/>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6</w:t>
            </w:r>
          </w:p>
        </w:tc>
      </w:tr>
      <w:tr w14:paraId="66584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trPr>
        <w:tc>
          <w:tcPr>
            <w:tcW w:w="209" w:type="pct"/>
            <w:vMerge w:val="continue"/>
            <w:vAlign w:val="center"/>
          </w:tcPr>
          <w:p w14:paraId="4201ACD7">
            <w:pPr>
              <w:pStyle w:val="12"/>
              <w:spacing w:line="596" w:lineRule="exact"/>
              <w:jc w:val="center"/>
              <w:rPr>
                <w:rFonts w:asciiTheme="majorEastAsia" w:hAnsiTheme="majorEastAsia" w:eastAsiaTheme="majorEastAsia"/>
                <w:color w:val="auto"/>
                <w:sz w:val="16"/>
                <w:szCs w:val="16"/>
                <w:highlight w:val="none"/>
              </w:rPr>
            </w:pPr>
          </w:p>
        </w:tc>
        <w:tc>
          <w:tcPr>
            <w:tcW w:w="210" w:type="pct"/>
            <w:vMerge w:val="continue"/>
            <w:vAlign w:val="center"/>
          </w:tcPr>
          <w:p w14:paraId="23D546AD">
            <w:pPr>
              <w:pStyle w:val="12"/>
              <w:spacing w:line="596" w:lineRule="exact"/>
              <w:jc w:val="center"/>
              <w:rPr>
                <w:rFonts w:asciiTheme="majorEastAsia" w:hAnsiTheme="majorEastAsia" w:eastAsiaTheme="majorEastAsia"/>
                <w:color w:val="auto"/>
                <w:sz w:val="16"/>
                <w:szCs w:val="16"/>
                <w:highlight w:val="none"/>
              </w:rPr>
            </w:pPr>
          </w:p>
        </w:tc>
        <w:tc>
          <w:tcPr>
            <w:tcW w:w="582" w:type="pct"/>
            <w:vAlign w:val="center"/>
          </w:tcPr>
          <w:p w14:paraId="07F2ED10">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绩效评价机制健全性</w:t>
            </w:r>
          </w:p>
        </w:tc>
        <w:tc>
          <w:tcPr>
            <w:tcW w:w="541" w:type="pct"/>
            <w:vAlign w:val="center"/>
          </w:tcPr>
          <w:p w14:paraId="06E7D7CC">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全面实现绩效管理</w:t>
            </w:r>
          </w:p>
        </w:tc>
        <w:tc>
          <w:tcPr>
            <w:tcW w:w="558" w:type="pct"/>
            <w:vAlign w:val="center"/>
          </w:tcPr>
          <w:p w14:paraId="7646A460">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全面实现绩效管理</w:t>
            </w:r>
          </w:p>
        </w:tc>
        <w:tc>
          <w:tcPr>
            <w:tcW w:w="1012" w:type="pct"/>
            <w:vAlign w:val="center"/>
          </w:tcPr>
          <w:p w14:paraId="3FA4490E">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①绩效运行监控有力(2分)</w:t>
            </w:r>
            <w:r>
              <w:rPr>
                <w:rFonts w:hint="eastAsia" w:ascii="仿宋_GB2312" w:hAnsi="仿宋_GB2312" w:cs="仿宋_GB2312"/>
                <w:color w:val="auto"/>
                <w:sz w:val="21"/>
                <w:szCs w:val="21"/>
                <w:highlight w:val="none"/>
              </w:rPr>
              <w:br w:type="textWrapping"/>
            </w:r>
            <w:r>
              <w:rPr>
                <w:rFonts w:hint="eastAsia" w:ascii="仿宋_GB2312" w:hAnsi="仿宋_GB2312" w:cs="仿宋_GB2312"/>
                <w:color w:val="auto"/>
                <w:sz w:val="21"/>
                <w:szCs w:val="21"/>
                <w:highlight w:val="none"/>
              </w:rPr>
              <w:t>②评价报告规范完整(2分)</w:t>
            </w:r>
            <w:r>
              <w:rPr>
                <w:rFonts w:hint="eastAsia" w:ascii="仿宋_GB2312" w:hAnsi="仿宋_GB2312" w:cs="仿宋_GB2312"/>
                <w:color w:val="auto"/>
                <w:sz w:val="21"/>
                <w:szCs w:val="21"/>
                <w:highlight w:val="none"/>
              </w:rPr>
              <w:br w:type="textWrapping"/>
            </w:r>
            <w:r>
              <w:rPr>
                <w:rFonts w:hint="eastAsia" w:ascii="仿宋_GB2312" w:hAnsi="仿宋_GB2312" w:cs="仿宋_GB2312"/>
                <w:color w:val="auto"/>
                <w:sz w:val="21"/>
                <w:szCs w:val="21"/>
                <w:highlight w:val="none"/>
              </w:rPr>
              <w:t>③评价报告上报及时(2分)</w:t>
            </w:r>
          </w:p>
        </w:tc>
        <w:tc>
          <w:tcPr>
            <w:tcW w:w="360" w:type="pct"/>
            <w:vAlign w:val="center"/>
          </w:tcPr>
          <w:p w14:paraId="153644A2">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6</w:t>
            </w:r>
          </w:p>
        </w:tc>
        <w:tc>
          <w:tcPr>
            <w:tcW w:w="972" w:type="pct"/>
            <w:vAlign w:val="center"/>
          </w:tcPr>
          <w:p w14:paraId="6F1A8E1A">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用以反映绩效自评管理情况</w:t>
            </w:r>
          </w:p>
        </w:tc>
        <w:tc>
          <w:tcPr>
            <w:tcW w:w="551" w:type="pct"/>
            <w:vAlign w:val="center"/>
          </w:tcPr>
          <w:p w14:paraId="653B87FA">
            <w:pPr>
              <w:spacing w:line="240" w:lineRule="exact"/>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6</w:t>
            </w:r>
          </w:p>
        </w:tc>
      </w:tr>
      <w:tr w14:paraId="67437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9" w:type="pct"/>
            <w:vMerge w:val="restart"/>
            <w:vAlign w:val="center"/>
          </w:tcPr>
          <w:p w14:paraId="0CAEB47B">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产出指标</w:t>
            </w:r>
          </w:p>
          <w:p w14:paraId="2C5E726A">
            <w:pPr>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(47分)</w:t>
            </w:r>
          </w:p>
        </w:tc>
        <w:tc>
          <w:tcPr>
            <w:tcW w:w="210" w:type="pct"/>
            <w:vAlign w:val="center"/>
          </w:tcPr>
          <w:p w14:paraId="286082A5">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数量指标</w:t>
            </w:r>
          </w:p>
        </w:tc>
        <w:tc>
          <w:tcPr>
            <w:tcW w:w="582" w:type="pct"/>
            <w:vAlign w:val="center"/>
          </w:tcPr>
          <w:p w14:paraId="3E8493F4">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基本医疗保险参保人数</w:t>
            </w:r>
          </w:p>
        </w:tc>
        <w:tc>
          <w:tcPr>
            <w:tcW w:w="541" w:type="pct"/>
            <w:vAlign w:val="center"/>
          </w:tcPr>
          <w:p w14:paraId="1E549DE9">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&gt;=2086万人万人</w:t>
            </w:r>
          </w:p>
        </w:tc>
        <w:tc>
          <w:tcPr>
            <w:tcW w:w="558" w:type="pct"/>
            <w:vAlign w:val="center"/>
          </w:tcPr>
          <w:p w14:paraId="19FE1E2B">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2103.98万人</w:t>
            </w:r>
          </w:p>
        </w:tc>
        <w:tc>
          <w:tcPr>
            <w:tcW w:w="1012" w:type="pct"/>
            <w:vAlign w:val="center"/>
          </w:tcPr>
          <w:p w14:paraId="290CE773">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满分:达到标准值</w:t>
            </w:r>
          </w:p>
          <w:p w14:paraId="22104840">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零分:（实际值/标准值）≤50%</w:t>
            </w:r>
          </w:p>
          <w:p w14:paraId="7CB9FA73">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其他:（实际值/标准值）*6</w:t>
            </w:r>
          </w:p>
        </w:tc>
        <w:tc>
          <w:tcPr>
            <w:tcW w:w="360" w:type="pct"/>
            <w:vAlign w:val="center"/>
          </w:tcPr>
          <w:p w14:paraId="2E431370">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c>
          <w:tcPr>
            <w:tcW w:w="972" w:type="pct"/>
            <w:vAlign w:val="center"/>
          </w:tcPr>
          <w:p w14:paraId="3961D9D4">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报告期末参加医保部门管理的城乡居民基本医疗保险(在经办机构办理参保并已建立当年缴费记录)的人数</w:t>
            </w:r>
          </w:p>
        </w:tc>
        <w:tc>
          <w:tcPr>
            <w:tcW w:w="551" w:type="pct"/>
            <w:vAlign w:val="center"/>
          </w:tcPr>
          <w:p w14:paraId="457F19E4">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r>
      <w:tr w14:paraId="1F9BF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209" w:type="pct"/>
            <w:vMerge w:val="continue"/>
            <w:vAlign w:val="center"/>
          </w:tcPr>
          <w:p w14:paraId="4F2B4CAF">
            <w:pPr>
              <w:pStyle w:val="12"/>
              <w:spacing w:line="596" w:lineRule="exact"/>
              <w:jc w:val="center"/>
              <w:rPr>
                <w:rFonts w:asciiTheme="majorEastAsia" w:hAnsiTheme="majorEastAsia" w:eastAsiaTheme="majorEastAsia"/>
                <w:color w:val="auto"/>
                <w:sz w:val="16"/>
                <w:szCs w:val="16"/>
                <w:highlight w:val="none"/>
              </w:rPr>
            </w:pPr>
          </w:p>
        </w:tc>
        <w:tc>
          <w:tcPr>
            <w:tcW w:w="210" w:type="pct"/>
            <w:vMerge w:val="restart"/>
            <w:vAlign w:val="center"/>
          </w:tcPr>
          <w:p w14:paraId="0AB2B1CF">
            <w:pPr>
              <w:pStyle w:val="12"/>
              <w:jc w:val="center"/>
              <w:rPr>
                <w:rFonts w:hint="default" w:asciiTheme="majorEastAsia" w:hAnsiTheme="majorEastAsia" w:eastAsiaTheme="majorEastAsia"/>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质量指标</w:t>
            </w:r>
          </w:p>
        </w:tc>
        <w:tc>
          <w:tcPr>
            <w:tcW w:w="582" w:type="pct"/>
            <w:vAlign w:val="center"/>
          </w:tcPr>
          <w:p w14:paraId="11884AB8">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申请结算补助资金时多报、虚报参保人数</w:t>
            </w:r>
          </w:p>
        </w:tc>
        <w:tc>
          <w:tcPr>
            <w:tcW w:w="541" w:type="pct"/>
            <w:vAlign w:val="center"/>
          </w:tcPr>
          <w:p w14:paraId="5FA0B0D8">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0人</w:t>
            </w:r>
          </w:p>
        </w:tc>
        <w:tc>
          <w:tcPr>
            <w:tcW w:w="558" w:type="pct"/>
            <w:vAlign w:val="center"/>
          </w:tcPr>
          <w:p w14:paraId="7E7D79CA">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0人</w:t>
            </w:r>
          </w:p>
        </w:tc>
        <w:tc>
          <w:tcPr>
            <w:tcW w:w="1012" w:type="pct"/>
            <w:vAlign w:val="center"/>
          </w:tcPr>
          <w:p w14:paraId="29A497C3">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满分:达到标准值</w:t>
            </w:r>
          </w:p>
          <w:p w14:paraId="0BC30889">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零分:有多报、虚报参保人数记零分</w:t>
            </w:r>
          </w:p>
        </w:tc>
        <w:tc>
          <w:tcPr>
            <w:tcW w:w="360" w:type="pct"/>
            <w:vAlign w:val="center"/>
          </w:tcPr>
          <w:p w14:paraId="47E95409">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c>
          <w:tcPr>
            <w:tcW w:w="972" w:type="pct"/>
            <w:vAlign w:val="center"/>
          </w:tcPr>
          <w:p w14:paraId="6D93CFC6">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统计参保人数超过实际参保人数</w:t>
            </w:r>
          </w:p>
        </w:tc>
        <w:tc>
          <w:tcPr>
            <w:tcW w:w="551" w:type="pct"/>
            <w:vAlign w:val="center"/>
          </w:tcPr>
          <w:p w14:paraId="6F3BFF07">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r>
      <w:tr w14:paraId="2FC4C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209" w:type="pct"/>
            <w:vMerge w:val="continue"/>
            <w:vAlign w:val="center"/>
          </w:tcPr>
          <w:p w14:paraId="70612694">
            <w:pPr>
              <w:pStyle w:val="12"/>
              <w:spacing w:line="596" w:lineRule="exact"/>
              <w:jc w:val="center"/>
              <w:rPr>
                <w:rFonts w:asciiTheme="majorEastAsia" w:hAnsiTheme="majorEastAsia" w:eastAsiaTheme="majorEastAsia"/>
                <w:color w:val="auto"/>
                <w:sz w:val="16"/>
                <w:szCs w:val="16"/>
                <w:highlight w:val="none"/>
              </w:rPr>
            </w:pPr>
          </w:p>
        </w:tc>
        <w:tc>
          <w:tcPr>
            <w:tcW w:w="210" w:type="pct"/>
            <w:vMerge w:val="continue"/>
            <w:vAlign w:val="center"/>
          </w:tcPr>
          <w:p w14:paraId="49A6A4A7">
            <w:pPr>
              <w:pStyle w:val="12"/>
              <w:spacing w:line="596" w:lineRule="exact"/>
              <w:jc w:val="center"/>
              <w:rPr>
                <w:rFonts w:asciiTheme="majorEastAsia" w:hAnsiTheme="majorEastAsia" w:eastAsiaTheme="majorEastAsia"/>
                <w:color w:val="auto"/>
                <w:sz w:val="21"/>
                <w:szCs w:val="21"/>
                <w:highlight w:val="none"/>
              </w:rPr>
            </w:pPr>
          </w:p>
        </w:tc>
        <w:tc>
          <w:tcPr>
            <w:tcW w:w="582" w:type="pct"/>
            <w:vAlign w:val="center"/>
          </w:tcPr>
          <w:p w14:paraId="4B536690">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参保人政策范围内住院费用报销比例</w:t>
            </w:r>
          </w:p>
        </w:tc>
        <w:tc>
          <w:tcPr>
            <w:tcW w:w="541" w:type="pct"/>
            <w:vAlign w:val="center"/>
          </w:tcPr>
          <w:p w14:paraId="0E2DAB14">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&gt;=7</w:t>
            </w:r>
            <w:r>
              <w:rPr>
                <w:rFonts w:hint="eastAsia" w:ascii="仿宋_GB2312" w:hAnsi="仿宋_GB2312" w:cs="仿宋_GB2312"/>
                <w:color w:val="auto"/>
                <w:sz w:val="21"/>
                <w:szCs w:val="21"/>
                <w:highlight w:val="none"/>
                <w:lang w:val="en-US" w:eastAsia="zh-CN"/>
              </w:rPr>
              <w:t>5</w:t>
            </w:r>
            <w:r>
              <w:rPr>
                <w:rFonts w:hint="eastAsia" w:ascii="仿宋_GB2312" w:hAnsi="仿宋_GB2312" w:cs="仿宋_GB2312"/>
                <w:color w:val="auto"/>
                <w:sz w:val="21"/>
                <w:szCs w:val="21"/>
                <w:highlight w:val="none"/>
              </w:rPr>
              <w:t>%</w:t>
            </w:r>
          </w:p>
        </w:tc>
        <w:tc>
          <w:tcPr>
            <w:tcW w:w="558" w:type="pct"/>
            <w:vAlign w:val="center"/>
          </w:tcPr>
          <w:p w14:paraId="54C04190">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7</w:t>
            </w:r>
            <w:r>
              <w:rPr>
                <w:rFonts w:hint="eastAsia" w:ascii="仿宋_GB2312" w:hAnsi="仿宋_GB2312" w:cs="仿宋_GB2312"/>
                <w:color w:val="auto"/>
                <w:sz w:val="21"/>
                <w:szCs w:val="21"/>
                <w:highlight w:val="none"/>
                <w:lang w:val="en-US" w:eastAsia="zh-CN"/>
              </w:rPr>
              <w:t>0</w:t>
            </w:r>
            <w:r>
              <w:rPr>
                <w:rFonts w:hint="eastAsia" w:ascii="仿宋_GB2312" w:hAnsi="仿宋_GB2312" w:cs="仿宋_GB2312"/>
                <w:color w:val="auto"/>
                <w:sz w:val="21"/>
                <w:szCs w:val="21"/>
                <w:highlight w:val="none"/>
              </w:rPr>
              <w:t>.</w:t>
            </w:r>
            <w:r>
              <w:rPr>
                <w:rFonts w:hint="eastAsia" w:ascii="仿宋_GB2312" w:hAnsi="仿宋_GB2312" w:cs="仿宋_GB2312"/>
                <w:color w:val="auto"/>
                <w:sz w:val="21"/>
                <w:szCs w:val="21"/>
                <w:highlight w:val="none"/>
                <w:lang w:val="en-US" w:eastAsia="zh-CN"/>
              </w:rPr>
              <w:t>86</w:t>
            </w:r>
            <w:r>
              <w:rPr>
                <w:rFonts w:hint="eastAsia" w:ascii="仿宋_GB2312" w:hAnsi="仿宋_GB2312" w:cs="仿宋_GB2312"/>
                <w:color w:val="auto"/>
                <w:sz w:val="21"/>
                <w:szCs w:val="21"/>
                <w:highlight w:val="none"/>
              </w:rPr>
              <w:t>%</w:t>
            </w:r>
          </w:p>
        </w:tc>
        <w:tc>
          <w:tcPr>
            <w:tcW w:w="1012" w:type="pct"/>
            <w:vAlign w:val="center"/>
          </w:tcPr>
          <w:p w14:paraId="22B110A8">
            <w:pPr>
              <w:spacing w:line="240" w:lineRule="exact"/>
              <w:rPr>
                <w:rFonts w:hint="eastAsia" w:ascii="仿宋_GB2312" w:hAnsi="仿宋_GB2312" w:cs="仿宋_GB2312"/>
                <w:color w:val="auto"/>
                <w:sz w:val="21"/>
                <w:szCs w:val="21"/>
                <w:highlight w:val="none"/>
                <w:lang w:val="en-US" w:eastAsia="zh-CN"/>
              </w:rPr>
            </w:pPr>
            <w:r>
              <w:rPr>
                <w:rFonts w:hint="eastAsia" w:ascii="仿宋_GB2312" w:hAnsi="仿宋_GB2312" w:cs="仿宋_GB2312"/>
                <w:color w:val="auto"/>
                <w:sz w:val="21"/>
                <w:szCs w:val="21"/>
                <w:highlight w:val="none"/>
              </w:rPr>
              <w:t>满分:</w:t>
            </w:r>
            <w:r>
              <w:rPr>
                <w:rFonts w:hint="eastAsia" w:ascii="仿宋_GB2312" w:hAnsi="仿宋_GB2312" w:cs="仿宋_GB2312"/>
                <w:color w:val="auto"/>
                <w:sz w:val="21"/>
                <w:szCs w:val="21"/>
                <w:highlight w:val="none"/>
                <w:lang w:val="en-US" w:eastAsia="zh-CN"/>
              </w:rPr>
              <w:t>达到国家规定标准70%</w:t>
            </w:r>
          </w:p>
          <w:p w14:paraId="138DDDD0">
            <w:pPr>
              <w:spacing w:line="240" w:lineRule="exact"/>
              <w:rPr>
                <w:rFonts w:hint="default"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rPr>
              <w:t>零分:低于</w:t>
            </w:r>
            <w:r>
              <w:rPr>
                <w:rFonts w:hint="eastAsia" w:ascii="仿宋_GB2312" w:hAnsi="仿宋_GB2312" w:cs="仿宋_GB2312"/>
                <w:color w:val="auto"/>
                <w:sz w:val="21"/>
                <w:szCs w:val="21"/>
                <w:highlight w:val="none"/>
                <w:lang w:val="en-US" w:eastAsia="zh-CN"/>
              </w:rPr>
              <w:t>70%</w:t>
            </w:r>
          </w:p>
        </w:tc>
        <w:tc>
          <w:tcPr>
            <w:tcW w:w="360" w:type="pct"/>
            <w:vAlign w:val="center"/>
          </w:tcPr>
          <w:p w14:paraId="51EB8D6F">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c>
          <w:tcPr>
            <w:tcW w:w="972" w:type="pct"/>
            <w:vAlign w:val="center"/>
          </w:tcPr>
          <w:p w14:paraId="0F15D257">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基金用于住院保障的支出与居民医保政策范围内住院费用的比率</w:t>
            </w:r>
          </w:p>
        </w:tc>
        <w:tc>
          <w:tcPr>
            <w:tcW w:w="551" w:type="pct"/>
            <w:vAlign w:val="center"/>
          </w:tcPr>
          <w:p w14:paraId="3BAFB9D2">
            <w:pPr>
              <w:pStyle w:val="12"/>
              <w:jc w:val="center"/>
              <w:rPr>
                <w:rFonts w:hint="default"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r>
      <w:tr w14:paraId="51B8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3" w:hRule="atLeast"/>
        </w:trPr>
        <w:tc>
          <w:tcPr>
            <w:tcW w:w="209" w:type="pct"/>
            <w:vMerge w:val="continue"/>
            <w:vAlign w:val="center"/>
          </w:tcPr>
          <w:p w14:paraId="234BEF41">
            <w:pPr>
              <w:pStyle w:val="12"/>
              <w:spacing w:line="596" w:lineRule="exact"/>
              <w:jc w:val="center"/>
              <w:rPr>
                <w:rFonts w:asciiTheme="majorEastAsia" w:hAnsiTheme="majorEastAsia" w:eastAsiaTheme="majorEastAsia"/>
                <w:color w:val="auto"/>
                <w:sz w:val="16"/>
                <w:szCs w:val="16"/>
                <w:highlight w:val="none"/>
              </w:rPr>
            </w:pPr>
          </w:p>
        </w:tc>
        <w:tc>
          <w:tcPr>
            <w:tcW w:w="210" w:type="pct"/>
            <w:vMerge w:val="continue"/>
            <w:vAlign w:val="center"/>
          </w:tcPr>
          <w:p w14:paraId="0C7ABD20">
            <w:pPr>
              <w:pStyle w:val="12"/>
              <w:spacing w:line="596" w:lineRule="exact"/>
              <w:jc w:val="center"/>
              <w:rPr>
                <w:rFonts w:asciiTheme="majorEastAsia" w:hAnsiTheme="majorEastAsia" w:eastAsiaTheme="majorEastAsia"/>
                <w:color w:val="auto"/>
                <w:sz w:val="16"/>
                <w:szCs w:val="16"/>
                <w:highlight w:val="none"/>
              </w:rPr>
            </w:pPr>
          </w:p>
        </w:tc>
        <w:tc>
          <w:tcPr>
            <w:tcW w:w="582" w:type="pct"/>
            <w:vAlign w:val="center"/>
          </w:tcPr>
          <w:p w14:paraId="78114887">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基金滚存结余可支付月数</w:t>
            </w:r>
          </w:p>
        </w:tc>
        <w:tc>
          <w:tcPr>
            <w:tcW w:w="541" w:type="pct"/>
            <w:vAlign w:val="center"/>
          </w:tcPr>
          <w:p w14:paraId="7940AD88">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&gt;=9个月</w:t>
            </w:r>
          </w:p>
        </w:tc>
        <w:tc>
          <w:tcPr>
            <w:tcW w:w="558" w:type="pct"/>
            <w:vAlign w:val="center"/>
          </w:tcPr>
          <w:p w14:paraId="182E6821">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1</w:t>
            </w:r>
            <w:r>
              <w:rPr>
                <w:rFonts w:hint="eastAsia" w:ascii="仿宋_GB2312" w:hAnsi="仿宋_GB2312" w:cs="仿宋_GB2312"/>
                <w:color w:val="auto"/>
                <w:sz w:val="21"/>
                <w:szCs w:val="21"/>
                <w:highlight w:val="none"/>
                <w:lang w:val="en-US" w:eastAsia="zh-CN"/>
              </w:rPr>
              <w:t>1</w:t>
            </w:r>
            <w:r>
              <w:rPr>
                <w:rFonts w:hint="eastAsia" w:ascii="仿宋_GB2312" w:hAnsi="仿宋_GB2312" w:cs="仿宋_GB2312"/>
                <w:color w:val="auto"/>
                <w:sz w:val="21"/>
                <w:szCs w:val="21"/>
                <w:highlight w:val="none"/>
              </w:rPr>
              <w:t>个月</w:t>
            </w:r>
          </w:p>
        </w:tc>
        <w:tc>
          <w:tcPr>
            <w:tcW w:w="1012" w:type="pct"/>
            <w:vAlign w:val="center"/>
          </w:tcPr>
          <w:p w14:paraId="780A1B0A">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满分:达到指标值</w:t>
            </w:r>
          </w:p>
          <w:p w14:paraId="249432AD">
            <w:pPr>
              <w:spacing w:line="240" w:lineRule="exact"/>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零分:实际值低于指标值</w:t>
            </w:r>
          </w:p>
        </w:tc>
        <w:tc>
          <w:tcPr>
            <w:tcW w:w="360" w:type="pct"/>
            <w:vAlign w:val="center"/>
          </w:tcPr>
          <w:p w14:paraId="4762A58D">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c>
          <w:tcPr>
            <w:tcW w:w="972" w:type="pct"/>
            <w:vAlign w:val="center"/>
          </w:tcPr>
          <w:p w14:paraId="662E76C5">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基金支出占收入的比例,是否略有结余。用以反映医保基金是否遵照“以收定支、收支平衡、略有结余”原则执行情况</w:t>
            </w:r>
          </w:p>
        </w:tc>
        <w:tc>
          <w:tcPr>
            <w:tcW w:w="551" w:type="pct"/>
            <w:vAlign w:val="center"/>
          </w:tcPr>
          <w:p w14:paraId="2FC5DF96">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8</w:t>
            </w:r>
          </w:p>
        </w:tc>
      </w:tr>
      <w:tr w14:paraId="41E1A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209" w:type="pct"/>
            <w:vMerge w:val="continue"/>
            <w:vAlign w:val="center"/>
          </w:tcPr>
          <w:p w14:paraId="4ADBF50B">
            <w:pPr>
              <w:pStyle w:val="12"/>
              <w:spacing w:line="596" w:lineRule="exact"/>
              <w:jc w:val="center"/>
              <w:rPr>
                <w:rFonts w:asciiTheme="majorEastAsia" w:hAnsiTheme="majorEastAsia" w:eastAsiaTheme="majorEastAsia"/>
                <w:color w:val="auto"/>
                <w:sz w:val="16"/>
                <w:szCs w:val="16"/>
                <w:highlight w:val="none"/>
              </w:rPr>
            </w:pPr>
          </w:p>
        </w:tc>
        <w:tc>
          <w:tcPr>
            <w:tcW w:w="210" w:type="pct"/>
            <w:vAlign w:val="center"/>
          </w:tcPr>
          <w:p w14:paraId="4C4822D5">
            <w:pPr>
              <w:pStyle w:val="12"/>
              <w:jc w:val="center"/>
              <w:rPr>
                <w:rFonts w:asciiTheme="majorEastAsia" w:hAnsiTheme="majorEastAsia" w:eastAsiaTheme="majorEastAsia"/>
                <w:color w:val="auto"/>
                <w:sz w:val="16"/>
                <w:szCs w:val="16"/>
                <w:highlight w:val="none"/>
              </w:rPr>
            </w:pPr>
            <w:r>
              <w:rPr>
                <w:rFonts w:hint="eastAsia" w:ascii="仿宋_GB2312" w:hAnsi="仿宋_GB2312" w:cs="仿宋_GB2312"/>
                <w:color w:val="auto"/>
                <w:sz w:val="21"/>
                <w:szCs w:val="21"/>
                <w:highlight w:val="none"/>
              </w:rPr>
              <w:t>时效指标</w:t>
            </w:r>
          </w:p>
        </w:tc>
        <w:tc>
          <w:tcPr>
            <w:tcW w:w="582" w:type="pct"/>
            <w:vAlign w:val="center"/>
          </w:tcPr>
          <w:p w14:paraId="7E26EED5">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当年财政补助资金到位率</w:t>
            </w:r>
          </w:p>
        </w:tc>
        <w:tc>
          <w:tcPr>
            <w:tcW w:w="541" w:type="pct"/>
            <w:vAlign w:val="center"/>
          </w:tcPr>
          <w:p w14:paraId="438E0955">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=100%</w:t>
            </w:r>
          </w:p>
        </w:tc>
        <w:tc>
          <w:tcPr>
            <w:tcW w:w="558" w:type="pct"/>
            <w:vAlign w:val="center"/>
          </w:tcPr>
          <w:p w14:paraId="323F72C4">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100%</w:t>
            </w:r>
          </w:p>
        </w:tc>
        <w:tc>
          <w:tcPr>
            <w:tcW w:w="1012" w:type="pct"/>
            <w:vAlign w:val="center"/>
          </w:tcPr>
          <w:p w14:paraId="6D5D9A91">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满分:=100%</w:t>
            </w:r>
            <w:r>
              <w:rPr>
                <w:rFonts w:hint="eastAsia" w:ascii="仿宋_GB2312" w:hAnsi="仿宋_GB2312" w:cs="仿宋_GB2312"/>
                <w:color w:val="auto"/>
                <w:sz w:val="21"/>
                <w:szCs w:val="21"/>
                <w:highlight w:val="none"/>
              </w:rPr>
              <w:br w:type="textWrapping"/>
            </w:r>
            <w:r>
              <w:rPr>
                <w:rFonts w:hint="eastAsia" w:ascii="仿宋_GB2312" w:hAnsi="仿宋_GB2312" w:cs="仿宋_GB2312"/>
                <w:color w:val="auto"/>
                <w:sz w:val="21"/>
                <w:szCs w:val="21"/>
                <w:highlight w:val="none"/>
              </w:rPr>
              <w:t>零分:未达到指标值</w:t>
            </w:r>
          </w:p>
        </w:tc>
        <w:tc>
          <w:tcPr>
            <w:tcW w:w="360" w:type="pct"/>
            <w:vAlign w:val="center"/>
          </w:tcPr>
          <w:p w14:paraId="7A100BDC">
            <w:pPr>
              <w:pStyle w:val="12"/>
              <w:jc w:val="center"/>
              <w:rPr>
                <w:rFonts w:hint="eastAsia"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5</w:t>
            </w:r>
          </w:p>
        </w:tc>
        <w:tc>
          <w:tcPr>
            <w:tcW w:w="972" w:type="pct"/>
            <w:vAlign w:val="center"/>
          </w:tcPr>
          <w:p w14:paraId="3FFE94A5">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反映医疗费用按政策即时结算情况</w:t>
            </w:r>
          </w:p>
        </w:tc>
        <w:tc>
          <w:tcPr>
            <w:tcW w:w="551" w:type="pct"/>
            <w:vAlign w:val="center"/>
          </w:tcPr>
          <w:p w14:paraId="21E55CD9">
            <w:pPr>
              <w:pStyle w:val="12"/>
              <w:jc w:val="center"/>
              <w:rPr>
                <w:rFonts w:hint="default"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5</w:t>
            </w:r>
          </w:p>
        </w:tc>
      </w:tr>
      <w:tr w14:paraId="695D69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9" w:hRule="atLeast"/>
        </w:trPr>
        <w:tc>
          <w:tcPr>
            <w:tcW w:w="209" w:type="pct"/>
            <w:vAlign w:val="center"/>
          </w:tcPr>
          <w:p w14:paraId="1659D07B">
            <w:pPr>
              <w:pStyle w:val="12"/>
              <w:spacing w:line="596" w:lineRule="exact"/>
              <w:jc w:val="center"/>
              <w:rPr>
                <w:rFonts w:asciiTheme="majorEastAsia" w:hAnsiTheme="majorEastAsia" w:eastAsiaTheme="majorEastAsia"/>
                <w:color w:val="auto"/>
                <w:sz w:val="16"/>
                <w:szCs w:val="16"/>
                <w:highlight w:val="none"/>
              </w:rPr>
            </w:pPr>
          </w:p>
        </w:tc>
        <w:tc>
          <w:tcPr>
            <w:tcW w:w="210" w:type="pct"/>
            <w:vAlign w:val="center"/>
          </w:tcPr>
          <w:p w14:paraId="62CE9A74">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成本指标</w:t>
            </w:r>
          </w:p>
        </w:tc>
        <w:tc>
          <w:tcPr>
            <w:tcW w:w="582" w:type="pct"/>
            <w:vAlign w:val="center"/>
          </w:tcPr>
          <w:p w14:paraId="11A12B2E">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城乡居民医保自治区财政补助标准</w:t>
            </w:r>
          </w:p>
        </w:tc>
        <w:tc>
          <w:tcPr>
            <w:tcW w:w="541" w:type="pct"/>
            <w:vAlign w:val="center"/>
          </w:tcPr>
          <w:p w14:paraId="05C4C26E">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不低于700元/（年.人）</w:t>
            </w:r>
          </w:p>
        </w:tc>
        <w:tc>
          <w:tcPr>
            <w:tcW w:w="558" w:type="pct"/>
            <w:vAlign w:val="center"/>
          </w:tcPr>
          <w:p w14:paraId="533D9F1B">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不低于700元/（年.人）</w:t>
            </w:r>
          </w:p>
        </w:tc>
        <w:tc>
          <w:tcPr>
            <w:tcW w:w="1012" w:type="pct"/>
            <w:vAlign w:val="center"/>
          </w:tcPr>
          <w:p w14:paraId="2FAF88FF">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满分：不低于700元/（年.人）</w:t>
            </w:r>
          </w:p>
          <w:p w14:paraId="703A5A7E">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零分：</w:t>
            </w:r>
            <w:r>
              <w:rPr>
                <w:rFonts w:hint="eastAsia" w:ascii="仿宋_GB2312" w:hAnsi="仿宋_GB2312" w:cs="仿宋_GB2312"/>
                <w:color w:val="auto"/>
                <w:sz w:val="21"/>
                <w:szCs w:val="21"/>
                <w:highlight w:val="none"/>
                <w:lang w:val="en-US" w:eastAsia="zh-CN"/>
              </w:rPr>
              <w:t>低于70</w:t>
            </w:r>
            <w:r>
              <w:rPr>
                <w:rFonts w:hint="eastAsia" w:ascii="仿宋_GB2312" w:hAnsi="仿宋_GB2312" w:cs="仿宋_GB2312"/>
                <w:color w:val="auto"/>
                <w:sz w:val="21"/>
                <w:szCs w:val="21"/>
                <w:highlight w:val="none"/>
              </w:rPr>
              <w:t>0元/（年.人）</w:t>
            </w:r>
          </w:p>
        </w:tc>
        <w:tc>
          <w:tcPr>
            <w:tcW w:w="360" w:type="pct"/>
            <w:vAlign w:val="center"/>
          </w:tcPr>
          <w:p w14:paraId="344D8662">
            <w:pPr>
              <w:pStyle w:val="12"/>
              <w:jc w:val="center"/>
              <w:rPr>
                <w:rFonts w:hint="default"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10</w:t>
            </w:r>
          </w:p>
        </w:tc>
        <w:tc>
          <w:tcPr>
            <w:tcW w:w="972" w:type="pct"/>
            <w:vAlign w:val="center"/>
          </w:tcPr>
          <w:p w14:paraId="665B99EB">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反映城乡居民医保自治区财政补助资金标准</w:t>
            </w:r>
          </w:p>
        </w:tc>
        <w:tc>
          <w:tcPr>
            <w:tcW w:w="551" w:type="pct"/>
            <w:vAlign w:val="center"/>
          </w:tcPr>
          <w:p w14:paraId="7D13EF79">
            <w:pPr>
              <w:pStyle w:val="12"/>
              <w:jc w:val="center"/>
              <w:rPr>
                <w:rFonts w:hint="default" w:ascii="仿宋_GB2312" w:hAnsi="仿宋_GB2312" w:eastAsia="仿宋_GB2312" w:cs="仿宋_GB2312"/>
                <w:color w:val="auto"/>
                <w:sz w:val="21"/>
                <w:szCs w:val="21"/>
                <w:highlight w:val="none"/>
                <w:lang w:val="en-US" w:eastAsia="zh-CN"/>
              </w:rPr>
            </w:pPr>
            <w:r>
              <w:rPr>
                <w:rFonts w:hint="eastAsia" w:ascii="仿宋_GB2312" w:hAnsi="仿宋_GB2312" w:cs="仿宋_GB2312"/>
                <w:color w:val="auto"/>
                <w:sz w:val="21"/>
                <w:szCs w:val="21"/>
                <w:highlight w:val="none"/>
                <w:lang w:val="en-US" w:eastAsia="zh-CN"/>
              </w:rPr>
              <w:t>10</w:t>
            </w:r>
          </w:p>
        </w:tc>
      </w:tr>
      <w:tr w14:paraId="6EFB0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9" w:hRule="atLeast"/>
        </w:trPr>
        <w:tc>
          <w:tcPr>
            <w:tcW w:w="209" w:type="pct"/>
            <w:vAlign w:val="center"/>
          </w:tcPr>
          <w:p w14:paraId="22F38EC0">
            <w:pPr>
              <w:spacing w:line="240" w:lineRule="exact"/>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满意度指标(10分)</w:t>
            </w:r>
          </w:p>
        </w:tc>
        <w:tc>
          <w:tcPr>
            <w:tcW w:w="210" w:type="pct"/>
            <w:vAlign w:val="center"/>
          </w:tcPr>
          <w:p w14:paraId="72941A79">
            <w:pPr>
              <w:pStyle w:val="12"/>
              <w:jc w:val="center"/>
              <w:rPr>
                <w:rFonts w:ascii="仿宋_GB2312" w:hAnsi="仿宋_GB2312" w:cs="仿宋_GB2312"/>
                <w:color w:val="auto"/>
                <w:sz w:val="21"/>
                <w:szCs w:val="21"/>
                <w:highlight w:val="none"/>
              </w:rPr>
            </w:pPr>
          </w:p>
          <w:p w14:paraId="194454AF">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服务对象满意度</w:t>
            </w:r>
          </w:p>
        </w:tc>
        <w:tc>
          <w:tcPr>
            <w:tcW w:w="582" w:type="pct"/>
            <w:vAlign w:val="center"/>
          </w:tcPr>
          <w:p w14:paraId="481EFA12">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参保人员满意度</w:t>
            </w:r>
          </w:p>
        </w:tc>
        <w:tc>
          <w:tcPr>
            <w:tcW w:w="541" w:type="pct"/>
            <w:vAlign w:val="center"/>
          </w:tcPr>
          <w:p w14:paraId="47613677">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&gt;=</w:t>
            </w:r>
            <w:r>
              <w:rPr>
                <w:rFonts w:hint="eastAsia" w:ascii="仿宋_GB2312" w:hAnsi="仿宋_GB2312" w:cs="仿宋_GB2312"/>
                <w:color w:val="auto"/>
                <w:sz w:val="21"/>
                <w:szCs w:val="21"/>
                <w:highlight w:val="none"/>
                <w:lang w:val="en-US" w:eastAsia="zh-CN"/>
              </w:rPr>
              <w:t>95</w:t>
            </w:r>
            <w:r>
              <w:rPr>
                <w:rFonts w:hint="eastAsia" w:ascii="仿宋_GB2312" w:hAnsi="仿宋_GB2312" w:cs="仿宋_GB2312"/>
                <w:color w:val="auto"/>
                <w:sz w:val="21"/>
                <w:szCs w:val="21"/>
                <w:highlight w:val="none"/>
              </w:rPr>
              <w:t>%</w:t>
            </w:r>
          </w:p>
        </w:tc>
        <w:tc>
          <w:tcPr>
            <w:tcW w:w="558" w:type="pct"/>
            <w:vAlign w:val="center"/>
          </w:tcPr>
          <w:p w14:paraId="0FF941B2">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99.99%</w:t>
            </w:r>
          </w:p>
        </w:tc>
        <w:tc>
          <w:tcPr>
            <w:tcW w:w="1012" w:type="pct"/>
            <w:vAlign w:val="center"/>
          </w:tcPr>
          <w:p w14:paraId="2B3A557E">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满分:&gt;85%</w:t>
            </w:r>
          </w:p>
          <w:p w14:paraId="33F0643F">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合格（6分）:85%</w:t>
            </w:r>
          </w:p>
          <w:p w14:paraId="5AE988CA">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零分:&lt;85%</w:t>
            </w:r>
          </w:p>
        </w:tc>
        <w:tc>
          <w:tcPr>
            <w:tcW w:w="360" w:type="pct"/>
            <w:vAlign w:val="center"/>
          </w:tcPr>
          <w:p w14:paraId="5B3640D1">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10</w:t>
            </w:r>
          </w:p>
        </w:tc>
        <w:tc>
          <w:tcPr>
            <w:tcW w:w="972" w:type="pct"/>
            <w:vAlign w:val="center"/>
          </w:tcPr>
          <w:p w14:paraId="63651584">
            <w:pPr>
              <w:pStyle w:val="12"/>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参保对象对居民医保政策、医保经办和服务的满意度</w:t>
            </w:r>
          </w:p>
        </w:tc>
        <w:tc>
          <w:tcPr>
            <w:tcW w:w="551" w:type="pct"/>
            <w:vAlign w:val="center"/>
          </w:tcPr>
          <w:p w14:paraId="69AA9E15">
            <w:pPr>
              <w:pStyle w:val="12"/>
              <w:jc w:val="center"/>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rPr>
              <w:t>10</w:t>
            </w:r>
          </w:p>
        </w:tc>
      </w:tr>
    </w:tbl>
    <w:p w14:paraId="285FF8A7">
      <w:pPr>
        <w:pStyle w:val="12"/>
        <w:ind w:firstLine="12810" w:firstLineChars="6100"/>
        <w:rPr>
          <w:rFonts w:ascii="仿宋_GB2312" w:hAnsi="仿宋_GB2312" w:cs="仿宋_GB2312"/>
          <w:color w:val="auto"/>
          <w:sz w:val="21"/>
          <w:szCs w:val="21"/>
          <w:highlight w:val="none"/>
        </w:rPr>
      </w:pPr>
      <w:r>
        <w:rPr>
          <w:rFonts w:hint="eastAsia" w:ascii="仿宋_GB2312" w:hAnsi="仿宋_GB2312" w:cs="仿宋_GB2312"/>
          <w:color w:val="auto"/>
          <w:sz w:val="21"/>
          <w:szCs w:val="21"/>
          <w:highlight w:val="none"/>
          <w:lang w:val="en-US" w:eastAsia="zh-CN"/>
        </w:rPr>
        <w:t>100</w:t>
      </w:r>
      <w:r>
        <w:rPr>
          <w:rFonts w:hint="eastAsia" w:ascii="仿宋_GB2312" w:hAnsi="仿宋_GB2312" w:cs="仿宋_GB2312"/>
          <w:color w:val="auto"/>
          <w:sz w:val="21"/>
          <w:szCs w:val="21"/>
          <w:highlight w:val="none"/>
        </w:rPr>
        <w:t>分</w:t>
      </w:r>
    </w:p>
    <w:p w14:paraId="52D0DF59">
      <w:pPr>
        <w:pStyle w:val="12"/>
        <w:rPr>
          <w:rFonts w:ascii="仿宋_GB2312" w:hAnsi="仿宋_GB2312" w:cs="仿宋_GB2312"/>
          <w:color w:val="auto"/>
          <w:sz w:val="21"/>
          <w:szCs w:val="21"/>
          <w:highlight w:val="none"/>
        </w:rPr>
        <w:sectPr>
          <w:pgSz w:w="16838" w:h="11906" w:orient="landscape"/>
          <w:pgMar w:top="1701" w:right="1701" w:bottom="1417" w:left="1701" w:header="851" w:footer="992" w:gutter="0"/>
          <w:cols w:space="425" w:num="1"/>
          <w:docGrid w:type="lines" w:linePitch="312" w:charSpace="0"/>
        </w:sectPr>
      </w:pPr>
      <w:r>
        <w:rPr>
          <w:rFonts w:hint="eastAsia" w:ascii="仿宋_GB2312" w:hAnsi="仿宋_GB2312" w:cs="仿宋_GB2312"/>
          <w:color w:val="auto"/>
          <w:sz w:val="21"/>
          <w:szCs w:val="21"/>
          <w:highlight w:val="none"/>
        </w:rPr>
        <w:t>注:绩效评价指标体系按百分制统计,满分为100分,合格为60分。</w:t>
      </w:r>
    </w:p>
    <w:p w14:paraId="48473DCA">
      <w:pPr>
        <w:spacing w:line="600" w:lineRule="exact"/>
        <w:rPr>
          <w:rFonts w:ascii="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EC77A96-670A-4788-8985-5B033244D04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124842EA-A8B5-4587-AFE6-981DA71F0E19}"/>
  </w:font>
  <w:font w:name="Calibri Light">
    <w:panose1 w:val="020F03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embedRegular r:id="rId3" w:fontKey="{540563A8-8581-4F33-8370-C7FC23725610}"/>
  </w:font>
  <w:font w:name="方正小标宋_GBK">
    <w:panose1 w:val="03000509000000000000"/>
    <w:charset w:val="86"/>
    <w:family w:val="script"/>
    <w:pitch w:val="default"/>
    <w:sig w:usb0="00000001" w:usb1="080E0000" w:usb2="00000000" w:usb3="00000000" w:csb0="00040000" w:csb1="00000000"/>
    <w:embedRegular r:id="rId4" w:fontKey="{A3F5459B-E2E4-4593-AA13-3556253A97BA}"/>
  </w:font>
  <w:font w:name="楷体_GB2312">
    <w:panose1 w:val="02010609030101010101"/>
    <w:charset w:val="86"/>
    <w:family w:val="auto"/>
    <w:pitch w:val="default"/>
    <w:sig w:usb0="00000001" w:usb1="080E0000" w:usb2="00000000" w:usb3="00000000" w:csb0="00040000" w:csb1="00000000"/>
    <w:embedRegular r:id="rId5" w:fontKey="{AD2C012D-A9DD-4B93-94E0-F2A3E2986D20}"/>
  </w:font>
  <w:font w:name="方正仿宋_GBK">
    <w:panose1 w:val="02000000000000000000"/>
    <w:charset w:val="86"/>
    <w:family w:val="script"/>
    <w:pitch w:val="default"/>
    <w:sig w:usb0="A00002BF" w:usb1="38CF7CFA" w:usb2="00082016" w:usb3="00000000" w:csb0="00040001" w:csb1="00000000"/>
    <w:embedRegular r:id="rId6" w:fontKey="{2ECBEA0B-3AE8-4E62-91F6-CE226677E8C0}"/>
  </w:font>
  <w:font w:name="方正仿宋_GB2312">
    <w:panose1 w:val="02000000000000000000"/>
    <w:charset w:val="86"/>
    <w:family w:val="auto"/>
    <w:pitch w:val="default"/>
    <w:sig w:usb0="A00002BF" w:usb1="184F6CFA" w:usb2="00000012" w:usb3="00000000" w:csb0="00040001" w:csb1="00000000"/>
    <w:embedRegular r:id="rId7" w:fontKey="{1C30AC0C-1962-40C9-AFA5-ACD9E9BFCBD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1BFDB"/>
    <w:multiLevelType w:val="singleLevel"/>
    <w:tmpl w:val="9B21BFDB"/>
    <w:lvl w:ilvl="0" w:tentative="0">
      <w:start w:val="6"/>
      <w:numFmt w:val="chineseCounting"/>
      <w:suff w:val="nothing"/>
      <w:lvlText w:val="%1、"/>
      <w:lvlJc w:val="left"/>
      <w:rPr>
        <w:rFonts w:hint="eastAsia"/>
      </w:rPr>
    </w:lvl>
  </w:abstractNum>
  <w:abstractNum w:abstractNumId="1">
    <w:nsid w:val="9D1CCCCD"/>
    <w:multiLevelType w:val="singleLevel"/>
    <w:tmpl w:val="9D1CCCCD"/>
    <w:lvl w:ilvl="0" w:tentative="0">
      <w:start w:val="2"/>
      <w:numFmt w:val="decimal"/>
      <w:suff w:val="nothing"/>
      <w:lvlText w:val="（%1）"/>
      <w:lvlJc w:val="left"/>
      <w:pPr>
        <w:ind w:left="-40"/>
      </w:pPr>
    </w:lvl>
  </w:abstractNum>
  <w:abstractNum w:abstractNumId="2">
    <w:nsid w:val="A64A43F1"/>
    <w:multiLevelType w:val="singleLevel"/>
    <w:tmpl w:val="A64A43F1"/>
    <w:lvl w:ilvl="0" w:tentative="0">
      <w:start w:val="1"/>
      <w:numFmt w:val="decimal"/>
      <w:suff w:val="nothing"/>
      <w:lvlText w:val="（%1）"/>
      <w:lvlJc w:val="left"/>
    </w:lvl>
  </w:abstractNum>
  <w:abstractNum w:abstractNumId="3">
    <w:nsid w:val="B4839A18"/>
    <w:multiLevelType w:val="singleLevel"/>
    <w:tmpl w:val="B4839A18"/>
    <w:lvl w:ilvl="0" w:tentative="0">
      <w:start w:val="2"/>
      <w:numFmt w:val="decimal"/>
      <w:suff w:val="nothing"/>
      <w:lvlText w:val="（%1）"/>
      <w:lvlJc w:val="left"/>
    </w:lvl>
  </w:abstractNum>
  <w:abstractNum w:abstractNumId="4">
    <w:nsid w:val="5E378097"/>
    <w:multiLevelType w:val="singleLevel"/>
    <w:tmpl w:val="5E378097"/>
    <w:lvl w:ilvl="0" w:tentative="0">
      <w:start w:val="1"/>
      <w:numFmt w:val="lowerLetter"/>
      <w:suff w:val="nothing"/>
      <w:lvlText w:val="%1."/>
      <w:lvlJc w:val="left"/>
    </w:lvl>
  </w:abstractNum>
  <w:num w:numId="1">
    <w:abstractNumId w:val="2"/>
  </w:num>
  <w:num w:numId="2">
    <w:abstractNumId w:val="4"/>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DY2MzI2ODIyMmQxYjAxZGFmMTUyZTFlZDJhNjdkMGIifQ=="/>
  </w:docVars>
  <w:rsids>
    <w:rsidRoot w:val="005002C0"/>
    <w:rsid w:val="00131B8F"/>
    <w:rsid w:val="001718B5"/>
    <w:rsid w:val="005002C0"/>
    <w:rsid w:val="00551F35"/>
    <w:rsid w:val="00941658"/>
    <w:rsid w:val="00991A89"/>
    <w:rsid w:val="00ED3BD8"/>
    <w:rsid w:val="014D4644"/>
    <w:rsid w:val="04DF5F2E"/>
    <w:rsid w:val="06FD4082"/>
    <w:rsid w:val="07322345"/>
    <w:rsid w:val="08640C24"/>
    <w:rsid w:val="0A285C81"/>
    <w:rsid w:val="0A5847B8"/>
    <w:rsid w:val="0AA00FEF"/>
    <w:rsid w:val="0C234952"/>
    <w:rsid w:val="0EDA4F84"/>
    <w:rsid w:val="0FFA3522"/>
    <w:rsid w:val="100F5919"/>
    <w:rsid w:val="13C935B5"/>
    <w:rsid w:val="14025795"/>
    <w:rsid w:val="14CE13B3"/>
    <w:rsid w:val="16174E4A"/>
    <w:rsid w:val="1C593E4E"/>
    <w:rsid w:val="1D22285A"/>
    <w:rsid w:val="1EC22E06"/>
    <w:rsid w:val="1F0B55D3"/>
    <w:rsid w:val="1F0E4FEE"/>
    <w:rsid w:val="1FC85AE5"/>
    <w:rsid w:val="21374CD0"/>
    <w:rsid w:val="22C5455D"/>
    <w:rsid w:val="25911713"/>
    <w:rsid w:val="2688259A"/>
    <w:rsid w:val="28C906A0"/>
    <w:rsid w:val="2A3B1016"/>
    <w:rsid w:val="2A6F17D7"/>
    <w:rsid w:val="2CF41CC7"/>
    <w:rsid w:val="307355F9"/>
    <w:rsid w:val="31EF5153"/>
    <w:rsid w:val="36947680"/>
    <w:rsid w:val="383F7F34"/>
    <w:rsid w:val="38D1110E"/>
    <w:rsid w:val="3A5A5133"/>
    <w:rsid w:val="403C444B"/>
    <w:rsid w:val="42D71A17"/>
    <w:rsid w:val="45D3296A"/>
    <w:rsid w:val="45EC0627"/>
    <w:rsid w:val="467A1037"/>
    <w:rsid w:val="46876249"/>
    <w:rsid w:val="476F0BC1"/>
    <w:rsid w:val="47C577F2"/>
    <w:rsid w:val="48E64762"/>
    <w:rsid w:val="4BA12BC2"/>
    <w:rsid w:val="4C2B050F"/>
    <w:rsid w:val="4F343D4D"/>
    <w:rsid w:val="4FE16C31"/>
    <w:rsid w:val="547370C6"/>
    <w:rsid w:val="549C486F"/>
    <w:rsid w:val="55633033"/>
    <w:rsid w:val="58507E4A"/>
    <w:rsid w:val="59486D73"/>
    <w:rsid w:val="5B1070A5"/>
    <w:rsid w:val="617202C0"/>
    <w:rsid w:val="62CD2097"/>
    <w:rsid w:val="644A7E43"/>
    <w:rsid w:val="64552344"/>
    <w:rsid w:val="645E38EF"/>
    <w:rsid w:val="6B2B0E79"/>
    <w:rsid w:val="6B8303F3"/>
    <w:rsid w:val="6EB56801"/>
    <w:rsid w:val="6F4155A5"/>
    <w:rsid w:val="709B5583"/>
    <w:rsid w:val="70A22DB5"/>
    <w:rsid w:val="71674CFB"/>
    <w:rsid w:val="71FB452B"/>
    <w:rsid w:val="72BB015E"/>
    <w:rsid w:val="78E75809"/>
    <w:rsid w:val="79F006ED"/>
    <w:rsid w:val="7ACB6801"/>
    <w:rsid w:val="7B4B7795"/>
    <w:rsid w:val="7C8B231F"/>
    <w:rsid w:val="7D08128D"/>
    <w:rsid w:val="7D4A45B8"/>
    <w:rsid w:val="7E0D6FD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eastAsia="宋体"/>
      <w:b/>
      <w:bCs/>
      <w:kern w:val="44"/>
      <w:sz w:val="48"/>
      <w:szCs w:val="4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4">
    <w:name w:val="annotation text"/>
    <w:basedOn w:val="1"/>
    <w:qFormat/>
    <w:uiPriority w:val="0"/>
    <w:pPr>
      <w:jc w:val="left"/>
    </w:p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styleId="8">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table" w:styleId="10">
    <w:name w:val="Table Grid"/>
    <w:basedOn w:val="9"/>
    <w:qFormat/>
    <w:uiPriority w:val="39"/>
    <w:rPr>
      <w:kern w:val="2"/>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2">
    <w:name w:val="Char"/>
    <w:basedOn w:val="1"/>
    <w:qFormat/>
    <w:uiPriority w:val="99"/>
    <w:pPr>
      <w:widowControl/>
      <w:spacing w:after="160" w:line="240" w:lineRule="exact"/>
      <w:jc w:val="left"/>
    </w:pPr>
  </w:style>
  <w:style w:type="character" w:customStyle="1" w:styleId="13">
    <w:name w:val="页眉 Char"/>
    <w:basedOn w:val="11"/>
    <w:link w:val="6"/>
    <w:qFormat/>
    <w:uiPriority w:val="0"/>
    <w:rPr>
      <w:rFonts w:eastAsia="仿宋_GB2312"/>
      <w:kern w:val="2"/>
      <w:sz w:val="18"/>
      <w:szCs w:val="18"/>
    </w:rPr>
  </w:style>
  <w:style w:type="character" w:customStyle="1" w:styleId="14">
    <w:name w:val="页脚 Char"/>
    <w:basedOn w:val="11"/>
    <w:link w:val="5"/>
    <w:qFormat/>
    <w:uiPriority w:val="0"/>
    <w:rPr>
      <w:rFonts w:eastAsia="仿宋_GB2312"/>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27</Pages>
  <Words>8394</Words>
  <Characters>8860</Characters>
  <Lines>13</Lines>
  <Paragraphs>28</Paragraphs>
  <TotalTime>60</TotalTime>
  <ScaleCrop>false</ScaleCrop>
  <LinksUpToDate>false</LinksUpToDate>
  <CharactersWithSpaces>8872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2024-03-04T05:11:00Z</dcterms:created>
  <dc:creator>Administrator</dc:creator>
  <cp:lastModifiedBy>AA</cp:lastModifiedBy>
  <cp:lastPrinted>2025-02-19T03:08:00Z</cp:lastPrinted>
  <dcterms:modified xsi:type="dcterms:W3CDTF">2026-04-13T12:18:43Z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BAFE0CFE7ED341058179AF8EB1DE14F4_13</vt:lpwstr>
  </property>
  <property fmtid="{D5CDD505-2E9C-101B-9397-08002B2CF9AE}" pid="4" name="KSOTemplateDocerSaveRecord">
    <vt:lpwstr>eyJoZGlkIjoiZjFmZWIzNDg2MmIzZjExOTIzMmViNTBmYTMwYTk0ZWYiLCJ1c2VySWQiOiI2NzI2Mjg4ODYifQ==</vt:lpwstr>
  </property>
</Properties>
</file>