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autoSpaceDE/>
        <w:bidi w:val="0"/>
        <w:spacing w:line="560" w:lineRule="exact"/>
        <w:textAlignment w:val="auto"/>
        <w:rPr>
          <w:rFonts w:hint="eastAsia" w:ascii="方正小标宋_GBK" w:hAnsi="方正小标宋_GBK" w:eastAsia="方正小标宋_GBK" w:cs="方正小标宋_GBK"/>
          <w:color w:val="auto"/>
          <w:sz w:val="44"/>
          <w:szCs w:val="44"/>
          <w:highlight w:val="none"/>
        </w:rPr>
      </w:pPr>
    </w:p>
    <w:p>
      <w:pPr>
        <w:keepNext w:val="0"/>
        <w:keepLines w:val="0"/>
        <w:pageBreakBefore w:val="0"/>
        <w:kinsoku/>
        <w:wordWrap/>
        <w:autoSpaceDE/>
        <w:bidi w:val="0"/>
        <w:spacing w:line="560" w:lineRule="exact"/>
        <w:jc w:val="both"/>
        <w:textAlignment w:val="auto"/>
        <w:rPr>
          <w:rFonts w:hint="eastAsia" w:ascii="方正小标宋_GBK" w:hAnsi="方正小标宋_GBK" w:eastAsia="方正小标宋_GBK" w:cs="方正小标宋_GBK"/>
          <w:color w:val="auto"/>
          <w:sz w:val="44"/>
          <w:szCs w:val="44"/>
          <w:highlight w:val="none"/>
        </w:rPr>
      </w:pPr>
    </w:p>
    <w:p>
      <w:pPr>
        <w:keepNext w:val="0"/>
        <w:keepLines w:val="0"/>
        <w:pageBreakBefore w:val="0"/>
        <w:kinsoku/>
        <w:wordWrap/>
        <w:autoSpaceDE/>
        <w:bidi w:val="0"/>
        <w:spacing w:before="127" w:line="560" w:lineRule="exact"/>
        <w:ind w:left="733"/>
        <w:textAlignment w:val="auto"/>
        <w:rPr>
          <w:rFonts w:hint="eastAsia" w:ascii="方正小标宋_GBK" w:hAnsi="方正小标宋_GBK" w:eastAsia="方正小标宋_GBK" w:cs="方正小标宋_GBK"/>
          <w:b/>
          <w:bCs/>
          <w:color w:val="auto"/>
          <w:spacing w:val="-9"/>
          <w:sz w:val="44"/>
          <w:szCs w:val="44"/>
          <w:highlight w:val="none"/>
        </w:rPr>
      </w:pPr>
      <w:r>
        <w:rPr>
          <w:rFonts w:hint="eastAsia" w:ascii="方正小标宋_GBK" w:hAnsi="方正小标宋_GBK" w:eastAsia="方正小标宋_GBK" w:cs="方正小标宋_GBK"/>
          <w:b/>
          <w:bCs/>
          <w:color w:val="auto"/>
          <w:spacing w:val="-9"/>
          <w:sz w:val="44"/>
          <w:szCs w:val="44"/>
          <w:highlight w:val="none"/>
          <w:lang w:val="en-US" w:eastAsia="zh-CN"/>
        </w:rPr>
        <w:t>新疆维吾尔自治区城乡居民</w:t>
      </w:r>
      <w:r>
        <w:rPr>
          <w:rFonts w:hint="eastAsia" w:ascii="方正小标宋_GBK" w:hAnsi="方正小标宋_GBK" w:eastAsia="方正小标宋_GBK" w:cs="方正小标宋_GBK"/>
          <w:b/>
          <w:bCs/>
          <w:color w:val="auto"/>
          <w:spacing w:val="-9"/>
          <w:sz w:val="44"/>
          <w:szCs w:val="44"/>
          <w:highlight w:val="none"/>
        </w:rPr>
        <w:t>基本医保补助</w:t>
      </w:r>
    </w:p>
    <w:p>
      <w:pPr>
        <w:keepNext w:val="0"/>
        <w:keepLines w:val="0"/>
        <w:pageBreakBefore w:val="0"/>
        <w:kinsoku/>
        <w:wordWrap/>
        <w:autoSpaceDE/>
        <w:bidi w:val="0"/>
        <w:spacing w:before="127" w:line="560" w:lineRule="exact"/>
        <w:ind w:left="733" w:firstLine="428" w:firstLineChars="100"/>
        <w:textAlignment w:val="auto"/>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b/>
          <w:bCs/>
          <w:color w:val="auto"/>
          <w:spacing w:val="-9"/>
          <w:sz w:val="44"/>
          <w:szCs w:val="44"/>
          <w:highlight w:val="none"/>
        </w:rPr>
        <w:t>转移支付资金202</w:t>
      </w:r>
      <w:r>
        <w:rPr>
          <w:rFonts w:hint="eastAsia" w:ascii="方正小标宋_GBK" w:hAnsi="方正小标宋_GBK" w:eastAsia="方正小标宋_GBK" w:cs="方正小标宋_GBK"/>
          <w:b/>
          <w:bCs/>
          <w:color w:val="auto"/>
          <w:spacing w:val="-9"/>
          <w:sz w:val="44"/>
          <w:szCs w:val="44"/>
          <w:highlight w:val="none"/>
          <w:lang w:val="en-US" w:eastAsia="zh-CN"/>
        </w:rPr>
        <w:t>5</w:t>
      </w:r>
      <w:r>
        <w:rPr>
          <w:rFonts w:hint="eastAsia" w:ascii="方正小标宋_GBK" w:hAnsi="方正小标宋_GBK" w:eastAsia="方正小标宋_GBK" w:cs="方正小标宋_GBK"/>
          <w:b/>
          <w:bCs/>
          <w:color w:val="auto"/>
          <w:spacing w:val="-9"/>
          <w:sz w:val="44"/>
          <w:szCs w:val="44"/>
          <w:highlight w:val="none"/>
        </w:rPr>
        <w:t>年度绩效</w:t>
      </w:r>
      <w:r>
        <w:rPr>
          <w:rFonts w:hint="eastAsia" w:ascii="方正小标宋_GBK" w:hAnsi="方正小标宋_GBK" w:eastAsia="方正小标宋_GBK" w:cs="方正小标宋_GBK"/>
          <w:b/>
          <w:bCs/>
          <w:color w:val="auto"/>
          <w:spacing w:val="-9"/>
          <w:sz w:val="44"/>
          <w:szCs w:val="44"/>
          <w:highlight w:val="none"/>
          <w:lang w:eastAsia="zh-CN"/>
        </w:rPr>
        <w:t>自评</w:t>
      </w:r>
      <w:r>
        <w:rPr>
          <w:rFonts w:hint="eastAsia" w:ascii="方正小标宋_GBK" w:hAnsi="方正小标宋_GBK" w:eastAsia="方正小标宋_GBK" w:cs="方正小标宋_GBK"/>
          <w:b/>
          <w:bCs/>
          <w:color w:val="auto"/>
          <w:spacing w:val="-9"/>
          <w:sz w:val="44"/>
          <w:szCs w:val="44"/>
          <w:highlight w:val="none"/>
        </w:rPr>
        <w:t>报告</w:t>
      </w: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p>
    <w:p>
      <w:pPr>
        <w:pStyle w:val="8"/>
        <w:rPr>
          <w:rFonts w:hint="eastAsia" w:ascii="方正小标宋_GBK" w:hAnsi="方正小标宋_GBK" w:eastAsia="方正小标宋_GBK" w:cs="方正小标宋_GBK"/>
          <w:bCs/>
          <w:color w:val="auto"/>
          <w:sz w:val="44"/>
          <w:szCs w:val="44"/>
          <w:highlight w:val="none"/>
        </w:rPr>
      </w:pPr>
    </w:p>
    <w:p>
      <w:pPr>
        <w:pStyle w:val="172"/>
        <w:keepNext w:val="0"/>
        <w:keepLines w:val="0"/>
        <w:pageBreakBefore w:val="0"/>
        <w:kinsoku/>
        <w:wordWrap/>
        <w:autoSpaceDE/>
        <w:bidi w:val="0"/>
        <w:spacing w:after="0" w:line="560" w:lineRule="exact"/>
        <w:textAlignment w:val="auto"/>
        <w:rPr>
          <w:rFonts w:hint="eastAsia" w:ascii="方正小标宋_GBK" w:hAnsi="方正小标宋_GBK" w:eastAsia="方正小标宋_GBK" w:cs="方正小标宋_GBK"/>
          <w:bCs/>
          <w:color w:val="auto"/>
          <w:sz w:val="44"/>
          <w:szCs w:val="44"/>
          <w:highlight w:val="none"/>
        </w:rPr>
      </w:pPr>
      <w:bookmarkStart w:id="1" w:name="_GoBack"/>
      <w:bookmarkEnd w:id="1"/>
    </w:p>
    <w:p>
      <w:pPr>
        <w:pStyle w:val="8"/>
        <w:rPr>
          <w:rFonts w:hint="eastAsia" w:ascii="方正小标宋_GBK" w:hAnsi="方正小标宋_GBK" w:eastAsia="方正小标宋_GBK" w:cs="方正小标宋_GBK"/>
          <w:bCs/>
          <w:color w:val="auto"/>
          <w:sz w:val="32"/>
          <w:szCs w:val="32"/>
          <w:highlight w:val="none"/>
          <w:lang w:val="en-US" w:eastAsia="zh-CN"/>
        </w:rPr>
      </w:pPr>
    </w:p>
    <w:p>
      <w:pPr>
        <w:rPr>
          <w:rFonts w:hint="eastAsia"/>
          <w:color w:val="auto"/>
          <w:highlight w:val="none"/>
          <w:lang w:val="en-US" w:eastAsia="zh-CN"/>
        </w:rPr>
      </w:pPr>
    </w:p>
    <w:p>
      <w:pPr>
        <w:keepNext w:val="0"/>
        <w:keepLines w:val="0"/>
        <w:pageBreakBefore w:val="0"/>
        <w:widowControl w:val="0"/>
        <w:kinsoku/>
        <w:wordWrap/>
        <w:overflowPunct w:val="0"/>
        <w:topLinePunct/>
        <w:autoSpaceDE/>
        <w:autoSpaceDN w:val="0"/>
        <w:bidi w:val="0"/>
        <w:adjustRightInd/>
        <w:snapToGrid/>
        <w:spacing w:line="560" w:lineRule="exact"/>
        <w:ind w:firstLine="548" w:firstLineChars="200"/>
        <w:textAlignment w:val="auto"/>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项目名称：城乡居民基本医保补助资金</w:t>
      </w:r>
    </w:p>
    <w:p>
      <w:pPr>
        <w:keepNext w:val="0"/>
        <w:keepLines w:val="0"/>
        <w:pageBreakBefore w:val="0"/>
        <w:widowControl w:val="0"/>
        <w:kinsoku/>
        <w:wordWrap/>
        <w:overflowPunct w:val="0"/>
        <w:topLinePunct/>
        <w:autoSpaceDE/>
        <w:autoSpaceDN w:val="0"/>
        <w:bidi w:val="0"/>
        <w:adjustRightInd/>
        <w:snapToGrid/>
        <w:spacing w:line="560" w:lineRule="exact"/>
        <w:ind w:firstLine="548" w:firstLineChars="200"/>
        <w:textAlignment w:val="auto"/>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实施单位（公章）：</w:t>
      </w:r>
      <w:r>
        <w:rPr>
          <w:rFonts w:hint="eastAsia" w:ascii="方正仿宋_GBK" w:hAnsi="方正仿宋_GBK" w:eastAsia="方正仿宋_GBK" w:cs="方正仿宋_GBK"/>
          <w:sz w:val="28"/>
          <w:szCs w:val="28"/>
          <w:highlight w:val="none"/>
        </w:rPr>
        <w:t>自治区</w:t>
      </w:r>
      <w:r>
        <w:rPr>
          <w:rFonts w:hint="eastAsia" w:ascii="方正仿宋_GBK" w:hAnsi="方正仿宋_GBK" w:eastAsia="方正仿宋_GBK" w:cs="方正仿宋_GBK"/>
          <w:sz w:val="28"/>
          <w:szCs w:val="28"/>
          <w:highlight w:val="none"/>
          <w:lang w:eastAsia="zh-CN"/>
        </w:rPr>
        <w:t>医疗保障局</w:t>
      </w:r>
      <w:r>
        <w:rPr>
          <w:rFonts w:hint="eastAsia" w:ascii="方正仿宋_GBK" w:hAnsi="方正仿宋_GBK" w:eastAsia="方正仿宋_GBK" w:cs="方正仿宋_GBK"/>
          <w:sz w:val="28"/>
          <w:szCs w:val="28"/>
          <w:highlight w:val="none"/>
        </w:rPr>
        <w:t>、自治区区级医疗机构、各地（州、市）医疗机构</w:t>
      </w:r>
    </w:p>
    <w:p>
      <w:pPr>
        <w:keepNext w:val="0"/>
        <w:keepLines w:val="0"/>
        <w:pageBreakBefore w:val="0"/>
        <w:widowControl w:val="0"/>
        <w:kinsoku/>
        <w:wordWrap/>
        <w:overflowPunct w:val="0"/>
        <w:topLinePunct/>
        <w:autoSpaceDE/>
        <w:autoSpaceDN w:val="0"/>
        <w:bidi w:val="0"/>
        <w:adjustRightInd/>
        <w:snapToGrid/>
        <w:spacing w:line="560" w:lineRule="exact"/>
        <w:ind w:firstLine="548" w:firstLineChars="200"/>
        <w:textAlignment w:val="auto"/>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主管部门（公章）：新疆维吾尔自治区医疗保障局</w:t>
      </w:r>
    </w:p>
    <w:p>
      <w:pPr>
        <w:keepNext w:val="0"/>
        <w:keepLines w:val="0"/>
        <w:pageBreakBefore w:val="0"/>
        <w:widowControl w:val="0"/>
        <w:kinsoku/>
        <w:wordWrap/>
        <w:overflowPunct w:val="0"/>
        <w:topLinePunct/>
        <w:autoSpaceDE/>
        <w:autoSpaceDN w:val="0"/>
        <w:bidi w:val="0"/>
        <w:adjustRightInd/>
        <w:snapToGrid/>
        <w:spacing w:line="560" w:lineRule="exact"/>
        <w:ind w:firstLine="548" w:firstLineChars="200"/>
        <w:textAlignment w:val="auto"/>
        <w:rPr>
          <w:rFonts w:hint="eastAsia"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项目负责人（签章）：王志华</w:t>
      </w:r>
    </w:p>
    <w:p>
      <w:pPr>
        <w:keepNext w:val="0"/>
        <w:keepLines w:val="0"/>
        <w:pageBreakBefore w:val="0"/>
        <w:widowControl w:val="0"/>
        <w:kinsoku/>
        <w:wordWrap/>
        <w:overflowPunct w:val="0"/>
        <w:topLinePunct/>
        <w:autoSpaceDE/>
        <w:autoSpaceDN w:val="0"/>
        <w:bidi w:val="0"/>
        <w:adjustRightInd/>
        <w:snapToGrid/>
        <w:spacing w:line="560" w:lineRule="exact"/>
        <w:ind w:firstLine="548" w:firstLineChars="200"/>
        <w:textAlignment w:val="auto"/>
        <w:rPr>
          <w:rFonts w:hint="default" w:ascii="方正仿宋_GBK" w:hAnsi="方正仿宋_GBK" w:eastAsia="方正仿宋_GBK" w:cs="方正仿宋_GBK"/>
          <w:sz w:val="28"/>
          <w:szCs w:val="28"/>
          <w:highlight w:val="none"/>
        </w:rPr>
      </w:pPr>
      <w:r>
        <w:rPr>
          <w:rFonts w:hint="eastAsia" w:ascii="方正仿宋_GBK" w:hAnsi="方正仿宋_GBK" w:eastAsia="方正仿宋_GBK" w:cs="方正仿宋_GBK"/>
          <w:sz w:val="28"/>
          <w:szCs w:val="28"/>
          <w:highlight w:val="none"/>
        </w:rPr>
        <w:t>填报时间：2026年3月4日</w:t>
      </w:r>
    </w:p>
    <w:p>
      <w:pPr>
        <w:keepNext w:val="0"/>
        <w:keepLines w:val="0"/>
        <w:pageBreakBefore w:val="0"/>
        <w:widowControl w:val="0"/>
        <w:kinsoku/>
        <w:wordWrap/>
        <w:overflowPunct w:val="0"/>
        <w:topLinePunct/>
        <w:autoSpaceDE/>
        <w:autoSpaceDN w:val="0"/>
        <w:bidi w:val="0"/>
        <w:adjustRightInd/>
        <w:snapToGrid/>
        <w:spacing w:line="560" w:lineRule="exact"/>
        <w:ind w:firstLine="548" w:firstLineChars="200"/>
        <w:textAlignment w:val="auto"/>
        <w:rPr>
          <w:rFonts w:hint="eastAsia" w:ascii="方正仿宋_GBK" w:hAnsi="方正仿宋_GBK" w:eastAsia="方正仿宋_GBK" w:cs="方正仿宋_GBK"/>
          <w:sz w:val="28"/>
          <w:szCs w:val="28"/>
          <w:highlight w:val="none"/>
        </w:rPr>
        <w:sectPr>
          <w:footerReference r:id="rId3" w:type="default"/>
          <w:pgSz w:w="11906" w:h="16838"/>
          <w:pgMar w:top="2098" w:right="1474" w:bottom="1984" w:left="1587" w:header="850" w:footer="1020" w:gutter="0"/>
          <w:pgNumType w:start="1"/>
          <w:cols w:space="720" w:num="1"/>
          <w:docGrid w:type="linesAndChars" w:linePitch="592" w:charSpace="1229"/>
        </w:sectPr>
      </w:pPr>
    </w:p>
    <w:p>
      <w:pPr>
        <w:keepNext w:val="0"/>
        <w:keepLines w:val="0"/>
        <w:pageBreakBefore w:val="0"/>
        <w:widowControl w:val="0"/>
        <w:kinsoku/>
        <w:wordWrap/>
        <w:overflowPunct w:val="0"/>
        <w:topLinePunct/>
        <w:autoSpaceDE/>
        <w:autoSpaceDN w:val="0"/>
        <w:bidi w:val="0"/>
        <w:spacing w:before="127" w:line="560" w:lineRule="exact"/>
        <w:ind w:left="733"/>
        <w:textAlignment w:val="auto"/>
        <w:rPr>
          <w:rFonts w:hint="eastAsia" w:ascii="方正小标宋_GBK" w:hAnsi="方正小标宋_GBK" w:eastAsia="方正小标宋_GBK" w:cs="方正小标宋_GBK"/>
          <w:b w:val="0"/>
          <w:bCs w:val="0"/>
          <w:color w:val="auto"/>
          <w:spacing w:val="-9"/>
          <w:sz w:val="44"/>
          <w:szCs w:val="44"/>
          <w:highlight w:val="none"/>
        </w:rPr>
      </w:pPr>
      <w:r>
        <w:rPr>
          <w:rFonts w:hint="eastAsia" w:ascii="方正小标宋_GBK" w:hAnsi="方正小标宋_GBK" w:eastAsia="方正小标宋_GBK" w:cs="方正小标宋_GBK"/>
          <w:b w:val="0"/>
          <w:bCs w:val="0"/>
          <w:color w:val="auto"/>
          <w:spacing w:val="-9"/>
          <w:sz w:val="44"/>
          <w:szCs w:val="44"/>
          <w:highlight w:val="none"/>
          <w:lang w:val="en-US" w:eastAsia="zh-CN"/>
        </w:rPr>
        <w:t>新疆维吾尔自治区城乡居民</w:t>
      </w:r>
      <w:r>
        <w:rPr>
          <w:rFonts w:hint="eastAsia" w:ascii="方正小标宋_GBK" w:hAnsi="方正小标宋_GBK" w:eastAsia="方正小标宋_GBK" w:cs="方正小标宋_GBK"/>
          <w:b w:val="0"/>
          <w:bCs w:val="0"/>
          <w:color w:val="auto"/>
          <w:spacing w:val="-9"/>
          <w:sz w:val="44"/>
          <w:szCs w:val="44"/>
          <w:highlight w:val="none"/>
        </w:rPr>
        <w:t>基本医保补助</w:t>
      </w:r>
    </w:p>
    <w:p>
      <w:pPr>
        <w:keepNext w:val="0"/>
        <w:keepLines w:val="0"/>
        <w:pageBreakBefore w:val="0"/>
        <w:widowControl w:val="0"/>
        <w:kinsoku/>
        <w:wordWrap/>
        <w:overflowPunct w:val="0"/>
        <w:topLinePunct/>
        <w:autoSpaceDE/>
        <w:autoSpaceDN w:val="0"/>
        <w:bidi w:val="0"/>
        <w:spacing w:before="127" w:line="560" w:lineRule="exact"/>
        <w:ind w:left="733" w:firstLine="428" w:firstLineChars="100"/>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pacing w:val="-9"/>
          <w:sz w:val="44"/>
          <w:szCs w:val="44"/>
          <w:highlight w:val="none"/>
        </w:rPr>
        <w:t>转移支付资金202</w:t>
      </w:r>
      <w:r>
        <w:rPr>
          <w:rFonts w:hint="eastAsia" w:ascii="方正小标宋_GBK" w:hAnsi="方正小标宋_GBK" w:eastAsia="方正小标宋_GBK" w:cs="方正小标宋_GBK"/>
          <w:b w:val="0"/>
          <w:bCs w:val="0"/>
          <w:color w:val="auto"/>
          <w:spacing w:val="-9"/>
          <w:sz w:val="44"/>
          <w:szCs w:val="44"/>
          <w:highlight w:val="none"/>
          <w:lang w:val="en-US" w:eastAsia="zh-CN"/>
        </w:rPr>
        <w:t>5</w:t>
      </w:r>
      <w:r>
        <w:rPr>
          <w:rFonts w:hint="eastAsia" w:ascii="方正小标宋_GBK" w:hAnsi="方正小标宋_GBK" w:eastAsia="方正小标宋_GBK" w:cs="方正小标宋_GBK"/>
          <w:b w:val="0"/>
          <w:bCs w:val="0"/>
          <w:color w:val="auto"/>
          <w:spacing w:val="-9"/>
          <w:sz w:val="44"/>
          <w:szCs w:val="44"/>
          <w:highlight w:val="none"/>
        </w:rPr>
        <w:t>年度绩效</w:t>
      </w:r>
      <w:r>
        <w:rPr>
          <w:rFonts w:hint="eastAsia" w:ascii="方正小标宋_GBK" w:hAnsi="方正小标宋_GBK" w:eastAsia="方正小标宋_GBK" w:cs="方正小标宋_GBK"/>
          <w:b w:val="0"/>
          <w:bCs w:val="0"/>
          <w:color w:val="auto"/>
          <w:spacing w:val="-9"/>
          <w:sz w:val="44"/>
          <w:szCs w:val="44"/>
          <w:highlight w:val="none"/>
          <w:lang w:eastAsia="zh-CN"/>
        </w:rPr>
        <w:t>自评</w:t>
      </w:r>
      <w:r>
        <w:rPr>
          <w:rFonts w:hint="eastAsia" w:ascii="方正小标宋_GBK" w:hAnsi="方正小标宋_GBK" w:eastAsia="方正小标宋_GBK" w:cs="方正小标宋_GBK"/>
          <w:b w:val="0"/>
          <w:bCs w:val="0"/>
          <w:color w:val="auto"/>
          <w:spacing w:val="-9"/>
          <w:sz w:val="44"/>
          <w:szCs w:val="44"/>
          <w:highlight w:val="none"/>
        </w:rPr>
        <w:t>报告</w:t>
      </w:r>
    </w:p>
    <w:p>
      <w:pPr>
        <w:keepNext w:val="0"/>
        <w:keepLines w:val="0"/>
        <w:pageBreakBefore w:val="0"/>
        <w:widowControl w:val="0"/>
        <w:tabs>
          <w:tab w:val="left" w:pos="720"/>
        </w:tabs>
        <w:kinsoku/>
        <w:wordWrap/>
        <w:overflowPunct w:val="0"/>
        <w:topLinePunct/>
        <w:autoSpaceDE/>
        <w:autoSpaceDN w:val="0"/>
        <w:bidi w:val="0"/>
        <w:adjustRightInd w:val="0"/>
        <w:snapToGrid w:val="0"/>
        <w:spacing w:line="560" w:lineRule="exact"/>
        <w:jc w:val="center"/>
        <w:textAlignment w:val="auto"/>
        <w:rPr>
          <w:rFonts w:hint="default" w:ascii="Times New Roman" w:hAnsi="Times New Roman" w:eastAsia="方正小标宋_GBK" w:cs="方正小标宋_GBK"/>
          <w:color w:val="auto"/>
          <w:sz w:val="44"/>
          <w:szCs w:val="44"/>
          <w:highlight w:val="none"/>
        </w:rPr>
      </w:pPr>
    </w:p>
    <w:p>
      <w:pPr>
        <w:keepNext w:val="0"/>
        <w:keepLines w:val="0"/>
        <w:pageBreakBefore w:val="0"/>
        <w:widowControl w:val="0"/>
        <w:tabs>
          <w:tab w:val="left" w:pos="720"/>
        </w:tabs>
        <w:kinsoku/>
        <w:wordWrap/>
        <w:overflowPunct w:val="0"/>
        <w:topLinePunct/>
        <w:autoSpaceDE/>
        <w:autoSpaceDN w:val="0"/>
        <w:bidi w:val="0"/>
        <w:adjustRightInd w:val="0"/>
        <w:snapToGrid w:val="0"/>
        <w:spacing w:line="560" w:lineRule="exact"/>
        <w:ind w:firstLine="628" w:firstLineChars="200"/>
        <w:textAlignment w:val="auto"/>
        <w:rPr>
          <w:rFonts w:hint="eastAsia" w:eastAsia="方正仿宋_GBK" w:cs="方正仿宋_GBK"/>
          <w:color w:val="auto"/>
          <w:highlight w:val="none"/>
          <w:lang w:val="en-US" w:eastAsia="zh-CN"/>
        </w:rPr>
      </w:pPr>
      <w:r>
        <w:rPr>
          <w:rFonts w:hint="eastAsia" w:eastAsia="方正仿宋_GBK" w:cs="方正仿宋_GBK"/>
          <w:color w:val="auto"/>
          <w:highlight w:val="none"/>
          <w:lang w:val="en-US" w:eastAsia="zh-CN"/>
        </w:rPr>
        <w:t>贯彻落实党中央全面实施预算绩效管理决策部署，根据《关于开展2025年度中央对地方转移支付预算执行情况绩效自评工作的通知》（财监〔2026〕1号），自治区医疗保障局高度重视、严格按规范要求组织开展了2025年度城乡居民医疗保险补助资金专项绩效自评价工作，现将自评情况报告如下：</w:t>
      </w:r>
    </w:p>
    <w:p>
      <w:pPr>
        <w:tabs>
          <w:tab w:val="left" w:pos="720"/>
        </w:tabs>
        <w:overflowPunct/>
        <w:topLinePunct w:val="0"/>
        <w:autoSpaceDN/>
        <w:adjustRightInd w:val="0"/>
        <w:snapToGrid w:val="0"/>
        <w:spacing w:line="596" w:lineRule="exact"/>
        <w:ind w:firstLine="652" w:firstLineChars="200"/>
        <w:outlineLvl w:val="0"/>
        <w:rPr>
          <w:rFonts w:hint="default" w:ascii="Times New Roman" w:hAnsi="Times New Roman" w:eastAsia="黑体" w:cs="Times New Roman Regular"/>
          <w:color w:val="auto"/>
          <w:spacing w:val="0"/>
          <w:sz w:val="32"/>
          <w:szCs w:val="32"/>
          <w:highlight w:val="none"/>
        </w:rPr>
      </w:pPr>
      <w:r>
        <w:rPr>
          <w:rFonts w:hint="default" w:ascii="Times New Roman" w:hAnsi="Times New Roman" w:eastAsia="黑体" w:cs="Times New Roman Regular"/>
          <w:color w:val="auto"/>
          <w:spacing w:val="0"/>
          <w:sz w:val="32"/>
          <w:szCs w:val="32"/>
          <w:highlight w:val="none"/>
        </w:rPr>
        <w:t>一、绩效目标分解下达情况</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outlineLvl w:val="1"/>
        <w:rPr>
          <w:rFonts w:hint="default" w:ascii="Times New Roman" w:hAnsi="Times New Roman" w:eastAsia="楷体_GB2312" w:cs="Times New Roman Regular"/>
          <w:color w:val="auto"/>
          <w:highlight w:val="none"/>
          <w:lang w:val="en-US" w:eastAsia="zh-CN"/>
        </w:rPr>
      </w:pPr>
      <w:r>
        <w:rPr>
          <w:rFonts w:hint="default" w:ascii="Times New Roman" w:hAnsi="Times New Roman" w:eastAsia="楷体_GB2312" w:cs="Times New Roman Regular"/>
          <w:color w:val="auto"/>
          <w:highlight w:val="none"/>
        </w:rPr>
        <w:t>（一）中央下达城乡居民医疗保险补助资金转移支付预算和绩效目标情况</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1.下达预算情况</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default" w:ascii="Times New Roman" w:hAnsi="Times New Roman" w:eastAsia="方正仿宋_GBK" w:cs="方正仿宋_GBK"/>
          <w:color w:val="auto"/>
          <w:highlight w:val="none"/>
        </w:rPr>
      </w:pPr>
      <w:r>
        <w:rPr>
          <w:rFonts w:ascii="Times New Roman" w:hAnsi="Times New Roman" w:eastAsia="方正仿宋_GBK" w:cs="方正仿宋_GBK"/>
          <w:color w:val="auto"/>
          <w:highlight w:val="none"/>
        </w:rPr>
        <w:t>财政部分</w:t>
      </w:r>
      <w:r>
        <w:rPr>
          <w:rFonts w:eastAsia="方正仿宋_GBK" w:cs="方正仿宋_GBK"/>
          <w:color w:val="auto"/>
          <w:highlight w:val="none"/>
        </w:rPr>
        <w:t>两</w:t>
      </w:r>
      <w:r>
        <w:rPr>
          <w:rFonts w:ascii="Times New Roman" w:hAnsi="Times New Roman" w:eastAsia="方正仿宋_GBK" w:cs="方正仿宋_GBK"/>
          <w:color w:val="auto"/>
          <w:highlight w:val="none"/>
        </w:rPr>
        <w:t>批下达我区2025年城乡居民医疗补助项目，资金共计863291万元，用于对城乡参保人员的补助，详细如下：</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default" w:ascii="Times New Roman" w:hAnsi="Times New Roman" w:eastAsia="方正仿宋_GBK" w:cs="方正仿宋_GBK"/>
          <w:color w:val="auto"/>
          <w:highlight w:val="none"/>
        </w:rPr>
      </w:pPr>
      <w:r>
        <w:rPr>
          <w:rFonts w:ascii="Times New Roman" w:hAnsi="Times New Roman" w:eastAsia="方正仿宋_GBK" w:cs="方正仿宋_GBK"/>
          <w:color w:val="auto"/>
          <w:highlight w:val="none"/>
        </w:rPr>
        <w:t>2024年10月，《财政部</w:t>
      </w:r>
      <w:r>
        <w:rPr>
          <w:rFonts w:hint="eastAsia" w:eastAsia="方正仿宋_GBK" w:cs="方正仿宋_GBK"/>
          <w:color w:val="auto"/>
          <w:highlight w:val="none"/>
          <w:lang w:val="en-US" w:eastAsia="zh-CN"/>
        </w:rPr>
        <w:t xml:space="preserve"> </w:t>
      </w:r>
      <w:r>
        <w:rPr>
          <w:rFonts w:ascii="Times New Roman" w:hAnsi="Times New Roman" w:eastAsia="方正仿宋_GBK" w:cs="方正仿宋_GBK"/>
          <w:color w:val="auto"/>
          <w:highlight w:val="none"/>
        </w:rPr>
        <w:t>国家医保局关于提前下达2025年中央财政城乡居民基本医疗保险补助资金预算的通知》（财社〔2024〕140号）下达我区</w:t>
      </w:r>
      <w:r>
        <w:rPr>
          <w:rFonts w:hint="eastAsia" w:eastAsia="方正仿宋_GBK" w:cs="方正仿宋_GBK"/>
          <w:color w:val="auto"/>
          <w:highlight w:val="none"/>
          <w:lang w:val="en-US" w:eastAsia="zh-CN"/>
        </w:rPr>
        <w:t>第一批</w:t>
      </w:r>
      <w:r>
        <w:rPr>
          <w:rFonts w:ascii="Times New Roman" w:hAnsi="Times New Roman" w:eastAsia="方正仿宋_GBK" w:cs="方正仿宋_GBK"/>
          <w:color w:val="auto"/>
          <w:highlight w:val="none"/>
        </w:rPr>
        <w:t>2025年城乡居民医疗保险补助资金768595万元</w:t>
      </w:r>
      <w:r>
        <w:rPr>
          <w:rFonts w:hint="eastAsia" w:eastAsia="方正仿宋_GBK" w:cs="方正仿宋_GBK"/>
          <w:color w:val="auto"/>
          <w:highlight w:val="none"/>
          <w:lang w:eastAsia="zh-CN"/>
        </w:rPr>
        <w:t>。</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default" w:ascii="Times New Roman" w:hAnsi="Times New Roman" w:eastAsia="方正仿宋_GBK" w:cs="方正仿宋_GBK"/>
          <w:color w:val="auto"/>
          <w:highlight w:val="none"/>
        </w:rPr>
      </w:pPr>
      <w:r>
        <w:rPr>
          <w:rFonts w:ascii="Times New Roman" w:hAnsi="Times New Roman" w:eastAsia="方正仿宋_GBK" w:cs="方正仿宋_GBK"/>
          <w:color w:val="auto"/>
          <w:highlight w:val="none"/>
        </w:rPr>
        <w:t>2025年7月，《财政部</w:t>
      </w:r>
      <w:r>
        <w:rPr>
          <w:rFonts w:hint="eastAsia" w:eastAsia="方正仿宋_GBK" w:cs="方正仿宋_GBK"/>
          <w:color w:val="auto"/>
          <w:highlight w:val="none"/>
          <w:lang w:val="en-US" w:eastAsia="zh-CN"/>
        </w:rPr>
        <w:t xml:space="preserve"> </w:t>
      </w:r>
      <w:r>
        <w:rPr>
          <w:rFonts w:ascii="Times New Roman" w:hAnsi="Times New Roman" w:eastAsia="方正仿宋_GBK" w:cs="方正仿宋_GBK"/>
          <w:color w:val="auto"/>
          <w:highlight w:val="none"/>
        </w:rPr>
        <w:t>国家医保局关于下达2025年中央财政城乡居民基本医疗保险补助资金预算的通知》（财社〔2025〕92号）下达我区</w:t>
      </w:r>
      <w:r>
        <w:rPr>
          <w:rFonts w:hint="eastAsia" w:eastAsia="方正仿宋_GBK" w:cs="方正仿宋_GBK"/>
          <w:color w:val="auto"/>
          <w:highlight w:val="none"/>
          <w:lang w:val="en-US" w:eastAsia="zh-CN"/>
        </w:rPr>
        <w:t>第二批</w:t>
      </w:r>
      <w:r>
        <w:rPr>
          <w:rFonts w:hint="default" w:eastAsia="方正仿宋_GBK" w:cs="方正仿宋_GBK"/>
          <w:color w:val="auto"/>
          <w:highlight w:val="none"/>
          <w:lang w:val="en-US"/>
        </w:rPr>
        <w:t>2025</w:t>
      </w:r>
      <w:r>
        <w:rPr>
          <w:rFonts w:ascii="Times New Roman" w:hAnsi="Times New Roman" w:eastAsia="方正仿宋_GBK" w:cs="方正仿宋_GBK"/>
          <w:color w:val="auto"/>
          <w:highlight w:val="none"/>
        </w:rPr>
        <w:t>年城乡居民基本医疗保险补助资金94696万元。</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2.下达绩效目标情况</w:t>
      </w:r>
    </w:p>
    <w:p>
      <w:pPr>
        <w:keepNext w:val="0"/>
        <w:keepLines w:val="0"/>
        <w:pageBreakBefore w:val="0"/>
        <w:widowControl w:val="0"/>
        <w:numPr>
          <w:ilvl w:val="0"/>
          <w:numId w:val="0"/>
        </w:numPr>
        <w:kinsoku/>
        <w:wordWrap/>
        <w:overflowPunct/>
        <w:topLinePunct w:val="0"/>
        <w:autoSpaceDE/>
        <w:autoSpaceDN/>
        <w:bidi w:val="0"/>
        <w:spacing w:line="560" w:lineRule="exact"/>
        <w:ind w:firstLine="628" w:firstLineChars="200"/>
        <w:textAlignment w:val="auto"/>
        <w:rPr>
          <w:rFonts w:hint="eastAsia" w:eastAsia="方正仿宋_GBK" w:cs="方正仿宋_GBK"/>
          <w:b w:val="0"/>
          <w:bCs w:val="0"/>
          <w:color w:val="auto"/>
          <w:highlight w:val="none"/>
          <w:lang w:val="en-US" w:eastAsia="zh-CN"/>
        </w:rPr>
      </w:pPr>
      <w:r>
        <w:rPr>
          <w:rFonts w:hint="eastAsia" w:eastAsia="方正仿宋_GBK" w:cs="方正仿宋_GBK"/>
          <w:b w:val="0"/>
          <w:bCs w:val="0"/>
          <w:color w:val="auto"/>
          <w:highlight w:val="none"/>
          <w:lang w:val="en-US" w:eastAsia="zh-CN"/>
        </w:rPr>
        <w:t>财政部随文下达新疆区域绩效目标如下：</w:t>
      </w:r>
    </w:p>
    <w:tbl>
      <w:tblPr>
        <w:tblStyle w:val="11"/>
        <w:tblW w:w="0" w:type="auto"/>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9"/>
        <w:gridCol w:w="962"/>
        <w:gridCol w:w="1218"/>
        <w:gridCol w:w="2943"/>
        <w:gridCol w:w="2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i w:val="0"/>
                <w:iCs w:val="0"/>
                <w:color w:val="auto"/>
                <w:sz w:val="40"/>
                <w:szCs w:val="40"/>
                <w:highlight w:val="none"/>
                <w:u w:val="none"/>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863291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863291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用报销比例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方正仿宋_GBK"/>
          <w:color w:val="auto"/>
          <w:highlight w:val="none"/>
        </w:rPr>
      </w:pP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outlineLvl w:val="1"/>
        <w:rPr>
          <w:rFonts w:hint="default" w:ascii="Times New Roman" w:hAnsi="Times New Roman" w:eastAsia="楷体_GB2312" w:cs="Times New Roman Regular"/>
          <w:color w:val="auto"/>
          <w:highlight w:val="none"/>
        </w:rPr>
      </w:pPr>
      <w:r>
        <w:rPr>
          <w:rFonts w:hint="default" w:ascii="Times New Roman" w:hAnsi="Times New Roman" w:eastAsia="楷体_GB2312" w:cs="Times New Roman Regular"/>
          <w:color w:val="auto"/>
          <w:highlight w:val="none"/>
        </w:rPr>
        <w:t>（二）自治区资金安排、分解下达预算和绩效目标情况</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default" w:ascii="Times New Roman" w:hAnsi="Times New Roman" w:eastAsia="仿宋_GB2312" w:cs="Times New Roman Regular"/>
          <w:b/>
          <w:bCs/>
          <w:snapToGrid w:val="0"/>
          <w:color w:val="auto"/>
          <w:spacing w:val="0"/>
          <w:kern w:val="0"/>
          <w:sz w:val="32"/>
          <w:szCs w:val="32"/>
          <w:highlight w:val="none"/>
          <w:lang w:val="en-US" w:eastAsia="zh-CN"/>
        </w:rPr>
      </w:pPr>
      <w:r>
        <w:rPr>
          <w:rFonts w:hint="default" w:ascii="Times New Roman" w:hAnsi="Times New Roman" w:eastAsia="仿宋_GB2312" w:cs="Times New Roman Regular"/>
          <w:b/>
          <w:bCs/>
          <w:snapToGrid w:val="0"/>
          <w:color w:val="auto"/>
          <w:spacing w:val="0"/>
          <w:kern w:val="0"/>
          <w:sz w:val="32"/>
          <w:szCs w:val="32"/>
          <w:highlight w:val="none"/>
          <w:lang w:val="en-US" w:eastAsia="zh-CN"/>
        </w:rPr>
        <w:t>1.自治区分解下达预算情况</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ascii="Times New Roman" w:hAnsi="Times New Roman" w:eastAsia="方正仿宋_GBK" w:cs="方正仿宋_GBK"/>
          <w:color w:val="auto"/>
          <w:highlight w:val="none"/>
        </w:rPr>
      </w:pPr>
      <w:bookmarkStart w:id="0" w:name="_Hlk40990290"/>
      <w:r>
        <w:rPr>
          <w:rFonts w:hint="eastAsia" w:eastAsia="方正仿宋_GBK" w:cs="方正仿宋_GBK"/>
          <w:color w:val="auto"/>
          <w:highlight w:val="none"/>
          <w:lang w:val="en-US" w:eastAsia="zh-CN"/>
        </w:rPr>
        <w:t>2024年12月，</w:t>
      </w:r>
      <w:r>
        <w:rPr>
          <w:rFonts w:ascii="Times New Roman" w:hAnsi="Times New Roman" w:eastAsia="方正仿宋_GBK" w:cs="方正仿宋_GBK"/>
          <w:color w:val="auto"/>
          <w:highlight w:val="none"/>
        </w:rPr>
        <w:t>《关于提前下达2025年城乡居民基本医疗保险中央财政补助资金预算的通知》（新财社〔2024〕164号）</w:t>
      </w:r>
      <w:r>
        <w:rPr>
          <w:rFonts w:hint="eastAsia" w:eastAsia="方正仿宋_GBK" w:cs="方正仿宋_GBK"/>
          <w:color w:val="auto"/>
          <w:highlight w:val="none"/>
          <w:lang w:val="en-US" w:eastAsia="zh-CN"/>
        </w:rPr>
        <w:t>安排资金768595万元、</w:t>
      </w:r>
      <w:r>
        <w:rPr>
          <w:rFonts w:ascii="Times New Roman" w:hAnsi="Times New Roman" w:eastAsia="方正仿宋_GBK" w:cs="方正仿宋_GBK"/>
          <w:color w:val="auto"/>
          <w:highlight w:val="none"/>
        </w:rPr>
        <w:t>《关于提前下达2025年自治区财政城乡居民基本医疗保险补助资金预算的通知》（新财社〔2024〕</w:t>
      </w:r>
      <w:r>
        <w:rPr>
          <w:rFonts w:hint="default" w:ascii="Times New Roman" w:hAnsi="Times New Roman" w:eastAsia="方正仿宋_GBK" w:cs="方正仿宋_GBK"/>
          <w:color w:val="auto"/>
          <w:highlight w:val="none"/>
        </w:rPr>
        <w:t>1</w:t>
      </w:r>
      <w:r>
        <w:rPr>
          <w:rFonts w:ascii="Times New Roman" w:hAnsi="Times New Roman" w:eastAsia="方正仿宋_GBK" w:cs="方正仿宋_GBK"/>
          <w:color w:val="auto"/>
          <w:highlight w:val="none"/>
        </w:rPr>
        <w:t>80号）</w:t>
      </w:r>
      <w:r>
        <w:rPr>
          <w:rFonts w:hint="eastAsia" w:eastAsia="方正仿宋_GBK" w:cs="方正仿宋_GBK"/>
          <w:color w:val="auto"/>
          <w:highlight w:val="none"/>
          <w:lang w:val="en-US" w:eastAsia="zh-CN"/>
        </w:rPr>
        <w:t>安排资金180000万元；2025年9月，</w:t>
      </w:r>
      <w:r>
        <w:rPr>
          <w:rFonts w:ascii="Times New Roman" w:hAnsi="Times New Roman" w:eastAsia="方正仿宋_GBK" w:cs="方正仿宋_GBK"/>
          <w:color w:val="auto"/>
          <w:highlight w:val="none"/>
        </w:rPr>
        <w:t>《关于下达2025年中央城乡居民基本医疗保险补助资金预算的通知》（新财社〔2025〕102号）</w:t>
      </w:r>
      <w:r>
        <w:rPr>
          <w:rFonts w:hint="eastAsia" w:eastAsia="方正仿宋_GBK" w:cs="方正仿宋_GBK"/>
          <w:color w:val="auto"/>
          <w:highlight w:val="none"/>
          <w:lang w:val="en-US" w:eastAsia="zh-CN"/>
        </w:rPr>
        <w:t>安排资金94696万元</w:t>
      </w:r>
      <w:r>
        <w:rPr>
          <w:rFonts w:ascii="Times New Roman" w:hAnsi="Times New Roman" w:eastAsia="方正仿宋_GBK" w:cs="方正仿宋_GBK"/>
          <w:color w:val="auto"/>
          <w:highlight w:val="none"/>
        </w:rPr>
        <w:t>、《关于下达2025年自治区财政城乡居民基本医疗保险补助资金的通知》（新财社〔2025〕119号）</w:t>
      </w:r>
      <w:bookmarkEnd w:id="0"/>
      <w:r>
        <w:rPr>
          <w:rFonts w:hint="eastAsia" w:eastAsia="方正仿宋_GBK" w:cs="方正仿宋_GBK"/>
          <w:color w:val="auto"/>
          <w:highlight w:val="none"/>
          <w:lang w:val="en-US" w:eastAsia="zh-CN"/>
        </w:rPr>
        <w:t>安排资金8633万元。</w:t>
      </w:r>
      <w:r>
        <w:rPr>
          <w:rFonts w:ascii="Times New Roman" w:hAnsi="Times New Roman" w:eastAsia="方正仿宋_GBK" w:cs="方正仿宋_GBK"/>
          <w:color w:val="auto"/>
          <w:highlight w:val="none"/>
        </w:rPr>
        <w:t>合计下达我区2025年城乡居民医疗保险补助资金项目</w:t>
      </w:r>
      <w:r>
        <w:rPr>
          <w:rFonts w:hint="eastAsia" w:eastAsia="方正仿宋_GBK" w:cs="方正仿宋_GBK"/>
          <w:color w:val="auto"/>
          <w:highlight w:val="none"/>
          <w:lang w:val="en-US" w:eastAsia="zh-CN"/>
        </w:rPr>
        <w:t>1051924</w:t>
      </w:r>
      <w:r>
        <w:rPr>
          <w:rFonts w:hint="eastAsia" w:ascii="Times New Roman" w:hAnsi="Times New Roman" w:eastAsia="方正仿宋_GBK" w:cs="方正仿宋_GBK"/>
          <w:color w:val="auto"/>
          <w:highlight w:val="none"/>
        </w:rPr>
        <w:t>万元</w:t>
      </w:r>
      <w:r>
        <w:rPr>
          <w:rFonts w:ascii="Times New Roman" w:hAnsi="Times New Roman" w:eastAsia="方正仿宋_GBK" w:cs="方正仿宋_GBK"/>
          <w:color w:val="auto"/>
          <w:highlight w:val="none"/>
        </w:rPr>
        <w:t>，中央资金863291万元，自治区配套资金</w:t>
      </w:r>
      <w:r>
        <w:rPr>
          <w:rFonts w:hint="eastAsia" w:eastAsia="方正仿宋_GBK" w:cs="方正仿宋_GBK"/>
          <w:color w:val="auto"/>
          <w:highlight w:val="none"/>
          <w:lang w:val="en-US" w:eastAsia="zh-CN"/>
        </w:rPr>
        <w:t>188633</w:t>
      </w:r>
      <w:r>
        <w:rPr>
          <w:rFonts w:ascii="Times New Roman" w:hAnsi="Times New Roman" w:eastAsia="方正仿宋_GBK" w:cs="方正仿宋_GBK"/>
          <w:color w:val="auto"/>
          <w:highlight w:val="none"/>
        </w:rPr>
        <w:t>万元。</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ascii="Times New Roman" w:hAnsi="Times New Roman" w:eastAsia="方正仿宋_GBK" w:cs="方正仿宋_GBK"/>
          <w:color w:val="auto"/>
          <w:highlight w:val="none"/>
        </w:rPr>
      </w:pPr>
      <w:r>
        <w:rPr>
          <w:rFonts w:ascii="Times New Roman" w:hAnsi="Times New Roman" w:eastAsia="方正仿宋_GBK" w:cs="方正仿宋_GBK"/>
          <w:color w:val="auto"/>
          <w:highlight w:val="none"/>
        </w:rPr>
        <w:t>资金安排情况如下：</w:t>
      </w:r>
    </w:p>
    <w:p>
      <w:pPr>
        <w:pStyle w:val="2"/>
        <w:rPr>
          <w:rFonts w:ascii="Times New Roman" w:hAnsi="Times New Roman" w:eastAsia="方正仿宋_GBK" w:cs="方正仿宋_GBK"/>
          <w:color w:val="auto"/>
          <w:highlight w:val="none"/>
        </w:rPr>
      </w:pPr>
    </w:p>
    <w:p>
      <w:pPr>
        <w:pStyle w:val="2"/>
        <w:rPr>
          <w:rFonts w:ascii="Times New Roman" w:hAnsi="Times New Roman" w:eastAsia="方正仿宋_GBK" w:cs="方正仿宋_GBK"/>
          <w:color w:val="auto"/>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cs="方正仿宋_GBK"/>
          <w:b/>
          <w:bCs/>
          <w:color w:val="auto"/>
          <w:sz w:val="28"/>
          <w:szCs w:val="28"/>
          <w:highlight w:val="none"/>
        </w:rPr>
      </w:pPr>
    </w:p>
    <w:tbl>
      <w:tblPr>
        <w:tblStyle w:val="11"/>
        <w:tblW w:w="879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0"/>
        <w:gridCol w:w="1510"/>
        <w:gridCol w:w="1040"/>
        <w:gridCol w:w="1040"/>
        <w:gridCol w:w="1040"/>
        <w:gridCol w:w="1040"/>
        <w:gridCol w:w="1040"/>
        <w:gridCol w:w="1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8790" w:type="dxa"/>
            <w:gridSpan w:val="8"/>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方正仿宋_GBK" w:hAnsi="方正仿宋_GBK" w:eastAsia="方正仿宋_GBK" w:cs="方正仿宋_GBK"/>
                <w:b/>
                <w:bCs/>
                <w:i w:val="0"/>
                <w:iCs w:val="0"/>
                <w:color w:val="auto"/>
                <w:sz w:val="28"/>
                <w:szCs w:val="28"/>
                <w:highlight w:val="none"/>
                <w:u w:val="none"/>
              </w:rPr>
            </w:pPr>
            <w:r>
              <w:rPr>
                <w:rFonts w:hint="eastAsia" w:ascii="方正仿宋_GBK" w:hAnsi="方正仿宋_GBK" w:eastAsia="方正仿宋_GBK" w:cs="方正仿宋_GBK"/>
                <w:b/>
                <w:bCs/>
                <w:i w:val="0"/>
                <w:iCs w:val="0"/>
                <w:color w:val="auto"/>
                <w:spacing w:val="-6"/>
                <w:kern w:val="0"/>
                <w:sz w:val="28"/>
                <w:szCs w:val="28"/>
                <w:highlight w:val="none"/>
                <w:u w:val="none"/>
                <w:lang w:val="en-US" w:eastAsia="zh-CN" w:bidi="ar"/>
              </w:rPr>
              <w:t>城乡居民基本医疗保险补助资金分配表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20"/>
                <w:szCs w:val="20"/>
                <w:highlight w:val="none"/>
                <w:u w:val="none"/>
              </w:rPr>
            </w:pPr>
            <w:r>
              <w:rPr>
                <w:rFonts w:hint="eastAsia" w:ascii="方正仿宋_GBK" w:hAnsi="方正仿宋_GBK" w:eastAsia="方正仿宋_GBK" w:cs="方正仿宋_GBK"/>
                <w:b/>
                <w:bCs/>
                <w:i w:val="0"/>
                <w:iCs w:val="0"/>
                <w:color w:val="auto"/>
                <w:spacing w:val="-6"/>
                <w:kern w:val="0"/>
                <w:sz w:val="20"/>
                <w:szCs w:val="20"/>
                <w:highlight w:val="none"/>
                <w:u w:val="none"/>
                <w:lang w:val="en-US" w:eastAsia="zh-CN" w:bidi="ar"/>
              </w:rPr>
              <w:t xml:space="preserve">                        （</w:t>
            </w:r>
            <w:r>
              <w:rPr>
                <w:rFonts w:hint="default" w:ascii="Times New Roman" w:hAnsi="Times New Roman" w:eastAsia="方正仿宋_GBK" w:cs="Times New Roman"/>
                <w:b/>
                <w:bCs/>
                <w:i w:val="0"/>
                <w:iCs w:val="0"/>
                <w:color w:val="auto"/>
                <w:spacing w:val="-6"/>
                <w:kern w:val="0"/>
                <w:sz w:val="20"/>
                <w:szCs w:val="20"/>
                <w:highlight w:val="none"/>
                <w:u w:val="none"/>
                <w:lang w:val="en-US" w:eastAsia="zh-CN" w:bidi="ar"/>
              </w:rPr>
              <w:t>2025</w:t>
            </w:r>
            <w:r>
              <w:rPr>
                <w:rFonts w:hint="eastAsia" w:ascii="方正仿宋_GBK" w:hAnsi="方正仿宋_GBK" w:eastAsia="方正仿宋_GBK" w:cs="方正仿宋_GBK"/>
                <w:b/>
                <w:bCs/>
                <w:i w:val="0"/>
                <w:iCs w:val="0"/>
                <w:color w:val="auto"/>
                <w:spacing w:val="-6"/>
                <w:kern w:val="0"/>
                <w:sz w:val="20"/>
                <w:szCs w:val="20"/>
                <w:highlight w:val="none"/>
                <w:u w:val="none"/>
                <w:lang w:val="en-US" w:eastAsia="zh-CN" w:bidi="ar"/>
              </w:rPr>
              <w:t>年度）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104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编号</w:t>
            </w:r>
          </w:p>
        </w:tc>
        <w:tc>
          <w:tcPr>
            <w:tcW w:w="1510"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单位</w:t>
            </w:r>
          </w:p>
        </w:tc>
        <w:tc>
          <w:tcPr>
            <w:tcW w:w="208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第一批</w:t>
            </w:r>
          </w:p>
        </w:tc>
        <w:tc>
          <w:tcPr>
            <w:tcW w:w="208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第二批</w:t>
            </w:r>
          </w:p>
        </w:tc>
        <w:tc>
          <w:tcPr>
            <w:tcW w:w="2080"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b/>
                <w:bCs/>
                <w:i w:val="0"/>
                <w:iCs w:val="0"/>
                <w:color w:val="auto"/>
                <w:sz w:val="18"/>
                <w:szCs w:val="18"/>
                <w:highlight w:val="none"/>
                <w:u w:val="none"/>
              </w:rPr>
            </w:pPr>
          </w:p>
        </w:tc>
        <w:tc>
          <w:tcPr>
            <w:tcW w:w="1510"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b/>
                <w:bCs/>
                <w:i w:val="0"/>
                <w:iCs w:val="0"/>
                <w:color w:val="auto"/>
                <w:sz w:val="18"/>
                <w:szCs w:val="18"/>
                <w:highlight w:val="none"/>
                <w:u w:val="none"/>
              </w:rPr>
            </w:pP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中央</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地方</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中央</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地方</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中央</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255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全区合计</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768595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180000</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94696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8633</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863291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188633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乌鲁木齐市</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51706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4158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6370</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329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58076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克拉玛依市</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5441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437</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671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6112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伊犁州</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89139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14335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10990</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961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100129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15296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塔城地区</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30763</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5771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3785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206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34548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阿勒泰地区</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19672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3691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2426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167</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22098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博州</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12772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2396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1572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98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14344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7</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昌吉州</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38157</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6137</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4699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291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42856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6428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巴州</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40326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6485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4974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287</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45300</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9</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阿克苏地区</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103745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19564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12782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994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116527</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20558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克州</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25354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8251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3128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366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28482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11</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喀什地区</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203945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66371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25098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3094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229043</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69465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和田地区</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111229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36201</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13719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1535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124948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37736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13</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吐鲁番市</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22994</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3698</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2839</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200</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25833</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0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w:t>
            </w:r>
          </w:p>
        </w:tc>
        <w:tc>
          <w:tcPr>
            <w:tcW w:w="151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哈密市</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13352</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2505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1643</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76</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14995</w:t>
            </w:r>
          </w:p>
        </w:tc>
        <w:tc>
          <w:tcPr>
            <w:tcW w:w="104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2581</w:t>
            </w:r>
          </w:p>
        </w:tc>
      </w:tr>
    </w:tbl>
    <w:p>
      <w:pPr>
        <w:pStyle w:val="7"/>
        <w:spacing w:line="560" w:lineRule="exact"/>
        <w:rPr>
          <w:rFonts w:hint="eastAsia" w:ascii="仿宋_GB2312" w:hAnsi="仿宋_GB2312" w:eastAsia="仿宋_GB2312" w:cs="仿宋_GB2312"/>
          <w:b/>
          <w:color w:val="auto"/>
          <w:spacing w:val="-3"/>
          <w:highlight w:val="none"/>
          <w:lang w:val="en-US" w:eastAsia="zh-CN"/>
        </w:rPr>
      </w:pPr>
    </w:p>
    <w:p>
      <w:pPr>
        <w:pStyle w:val="7"/>
        <w:spacing w:line="560" w:lineRule="exact"/>
        <w:rPr>
          <w:rFonts w:hint="eastAsia" w:ascii="仿宋_GB2312" w:hAnsi="仿宋_GB2312" w:eastAsia="仿宋_GB2312" w:cs="仿宋_GB2312"/>
          <w:b/>
          <w:color w:val="auto"/>
          <w:spacing w:val="-3"/>
          <w:highlight w:val="none"/>
          <w:lang w:val="en-US" w:eastAsia="zh-CN"/>
        </w:rPr>
      </w:pP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2.自治区分解下达绩效目标情况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28" w:firstLineChars="200"/>
        <w:textAlignment w:val="baseline"/>
        <w:rPr>
          <w:rFonts w:hint="eastAsia" w:eastAsia="方正仿宋_GBK" w:cs="方正仿宋_GBK"/>
          <w:color w:val="auto"/>
          <w:highlight w:val="none"/>
          <w:lang w:val="en-US" w:eastAsia="zh-CN"/>
        </w:rPr>
      </w:pPr>
      <w:r>
        <w:rPr>
          <w:rFonts w:hint="eastAsia" w:eastAsia="方正仿宋_GBK" w:cs="方正仿宋_GBK"/>
          <w:color w:val="auto"/>
          <w:highlight w:val="none"/>
          <w:lang w:val="en-US" w:eastAsia="zh-CN"/>
        </w:rPr>
        <w:t>根据中央下达新疆城乡居民基本医疗保险补助资金项目区域绩效目标表，对地州市项目绩效目标表分解如下：</w:t>
      </w:r>
    </w:p>
    <w:tbl>
      <w:tblPr>
        <w:tblStyle w:val="11"/>
        <w:tblW w:w="0" w:type="auto"/>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9"/>
        <w:gridCol w:w="962"/>
        <w:gridCol w:w="1218"/>
        <w:gridCol w:w="2943"/>
        <w:gridCol w:w="2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i w:val="0"/>
                <w:iCs w:val="0"/>
                <w:color w:val="auto"/>
                <w:sz w:val="40"/>
                <w:szCs w:val="40"/>
                <w:highlight w:val="none"/>
                <w:u w:val="none"/>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val="0"/>
              <w:topLinePunct/>
              <w:autoSpaceDE/>
              <w:autoSpaceDN w:val="0"/>
              <w:bidi w:val="0"/>
              <w:adjustRightInd/>
              <w:snapToGrid/>
              <w:spacing w:line="44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cs="仿宋_GB2312"/>
                <w:i w:val="0"/>
                <w:iCs w:val="0"/>
                <w:color w:val="auto"/>
                <w:spacing w:val="-6"/>
                <w:kern w:val="0"/>
                <w:sz w:val="24"/>
                <w:szCs w:val="24"/>
                <w:highlight w:val="none"/>
                <w:u w:val="none"/>
                <w:lang w:val="en-US" w:eastAsia="zh-CN" w:bidi="ar"/>
              </w:rPr>
              <w:t>（</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r>
              <w:rPr>
                <w:rFonts w:hint="eastAsia" w:ascii="Times New Roman" w:hAnsi="Times New Roman"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cs="仿宋_GB2312"/>
                <w:i w:val="0"/>
                <w:iCs w:val="0"/>
                <w:color w:val="auto"/>
                <w:spacing w:val="-6"/>
                <w:kern w:val="0"/>
                <w:sz w:val="24"/>
                <w:szCs w:val="24"/>
                <w:highlight w:val="none"/>
                <w:u w:val="none"/>
                <w:lang w:val="en-US" w:eastAsia="zh-CN" w:bidi="ar"/>
              </w:rPr>
              <w:t>1051924</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863291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rPr>
            </w:pPr>
            <w:r>
              <w:rPr>
                <w:rFonts w:hint="eastAsia" w:ascii="Times New Roman" w:hAnsi="Times New Roman" w:cs="仿宋_GB2312"/>
                <w:i w:val="0"/>
                <w:iCs w:val="0"/>
                <w:color w:val="auto"/>
                <w:spacing w:val="-6"/>
                <w:kern w:val="0"/>
                <w:sz w:val="22"/>
                <w:szCs w:val="22"/>
                <w:highlight w:val="none"/>
                <w:u w:val="none"/>
                <w:lang w:val="en-US" w:eastAsia="zh-CN" w:bidi="ar"/>
              </w:rPr>
              <w:t>188633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autoSpaceDN w:val="0"/>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用报销比例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lang w:val="en-US" w:eastAsia="zh-CN"/>
        </w:rPr>
      </w:pPr>
    </w:p>
    <w:p>
      <w:pPr>
        <w:pStyle w:val="172"/>
        <w:rPr>
          <w:rFonts w:hint="eastAsia"/>
          <w:color w:val="auto"/>
          <w:highlight w:val="none"/>
          <w:lang w:val="en-US" w:eastAsia="zh-CN"/>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（乌鲁木齐市）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62563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58076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4487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克拉玛依</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6578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6112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伊犁州</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115425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100129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15296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塔城地区</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40525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34548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5977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阿勒泰地区</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25956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22098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博州</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16838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14344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2494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昌吉州</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49284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42856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6428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1"/>
        <w:gridCol w:w="1201"/>
        <w:gridCol w:w="1662"/>
        <w:gridCol w:w="2572"/>
        <w:gridCol w:w="2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巴州</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52072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45300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6772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1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8"/>
        <w:gridCol w:w="1200"/>
        <w:gridCol w:w="1664"/>
        <w:gridCol w:w="2572"/>
        <w:gridCol w:w="2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阿克苏地区</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137085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116527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20558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8"/>
        <w:gridCol w:w="1200"/>
        <w:gridCol w:w="1664"/>
        <w:gridCol w:w="2572"/>
        <w:gridCol w:w="2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克州</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37099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28482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8617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8"/>
        <w:gridCol w:w="1200"/>
        <w:gridCol w:w="1664"/>
        <w:gridCol w:w="2572"/>
        <w:gridCol w:w="2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喀什地区</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298508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229043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69465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8"/>
        <w:gridCol w:w="1200"/>
        <w:gridCol w:w="1664"/>
        <w:gridCol w:w="2572"/>
        <w:gridCol w:w="2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和田地区</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162684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124948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37736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8"/>
        <w:gridCol w:w="1200"/>
        <w:gridCol w:w="1664"/>
        <w:gridCol w:w="2572"/>
        <w:gridCol w:w="2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吐鲁番市</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29731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25833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3898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p>
      <w:pPr>
        <w:pStyle w:val="172"/>
        <w:rPr>
          <w:rFonts w:hint="eastAsia"/>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8"/>
        <w:gridCol w:w="1200"/>
        <w:gridCol w:w="1664"/>
        <w:gridCol w:w="2572"/>
        <w:gridCol w:w="2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Times New Roman" w:hAnsi="Times New Roman" w:eastAsia="仿宋_GB2312" w:cs="仿宋_GB2312"/>
                <w:b/>
                <w:bCs/>
                <w:color w:val="auto"/>
                <w:sz w:val="28"/>
                <w:szCs w:val="28"/>
                <w:highlight w:val="none"/>
                <w:lang w:val="en-US" w:eastAsia="zh-CN"/>
              </w:rPr>
            </w:pPr>
            <w:r>
              <w:rPr>
                <w:rFonts w:hint="eastAsia" w:ascii="Times New Roman" w:hAnsi="Times New Roman" w:eastAsia="仿宋_GB2312" w:cs="仿宋_GB2312"/>
                <w:b/>
                <w:bCs/>
                <w:color w:val="auto"/>
                <w:sz w:val="28"/>
                <w:szCs w:val="28"/>
                <w:highlight w:val="none"/>
                <w:lang w:val="en-US" w:eastAsia="zh-CN"/>
              </w:rPr>
              <w:t>城乡居民基本医疗保险补助区域绩效目标表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（2025年度）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00" w:type="pct"/>
            <w:gridSpan w:val="5"/>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r>
              <w:rPr>
                <w:rFonts w:hint="eastAsia" w:ascii="Times New Roman" w:hAnsi="Times New Roman" w:cs="仿宋_GB2312"/>
                <w:i w:val="0"/>
                <w:iCs w:val="0"/>
                <w:color w:val="auto"/>
                <w:spacing w:val="-6"/>
                <w:kern w:val="0"/>
                <w:sz w:val="24"/>
                <w:szCs w:val="24"/>
                <w:highlight w:val="none"/>
                <w:u w:val="none"/>
                <w:lang w:val="en-US" w:eastAsia="zh-CN" w:bidi="ar"/>
              </w:rPr>
              <w:t>哈密市</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项目名称</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省份</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省级财政部门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新疆维吾尔自治区财政厅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省级主管部门</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资金情况</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(万元)</w:t>
            </w: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年度金额</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17576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其中：中央资金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4"/>
                <w:szCs w:val="24"/>
                <w:highlight w:val="none"/>
                <w:u w:val="none"/>
                <w:lang w:val="en-US"/>
              </w:rPr>
            </w:pPr>
            <w:r>
              <w:rPr>
                <w:rFonts w:hint="eastAsia" w:ascii="Times New Roman" w:hAnsi="Times New Roman" w:cs="仿宋_GB2312"/>
                <w:i w:val="0"/>
                <w:iCs w:val="0"/>
                <w:color w:val="auto"/>
                <w:spacing w:val="-6"/>
                <w:kern w:val="0"/>
                <w:sz w:val="24"/>
                <w:szCs w:val="24"/>
                <w:highlight w:val="none"/>
                <w:u w:val="none"/>
                <w:lang w:val="en-US" w:eastAsia="zh-CN" w:bidi="ar"/>
              </w:rPr>
              <w:t>14995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地方资金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default" w:ascii="Times New Roman" w:hAnsi="Times New Roman" w:eastAsia="仿宋_GB2312" w:cs="仿宋_GB2312"/>
                <w:i w:val="0"/>
                <w:iCs w:val="0"/>
                <w:color w:val="auto"/>
                <w:sz w:val="22"/>
                <w:szCs w:val="22"/>
                <w:highlight w:val="none"/>
                <w:u w:val="none"/>
                <w:lang w:val="en-US" w:eastAsia="zh-CN"/>
              </w:rPr>
            </w:pPr>
            <w:r>
              <w:rPr>
                <w:rFonts w:hint="eastAsia" w:ascii="Times New Roman" w:hAnsi="Times New Roman" w:cs="仿宋_GB2312"/>
                <w:i w:val="0"/>
                <w:iCs w:val="0"/>
                <w:color w:val="auto"/>
                <w:sz w:val="22"/>
                <w:szCs w:val="22"/>
                <w:highlight w:val="none"/>
                <w:u w:val="none"/>
                <w:lang w:val="en-US" w:eastAsia="zh-CN"/>
              </w:rPr>
              <w:t>2581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5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其他资金</w:t>
            </w:r>
          </w:p>
        </w:tc>
        <w:tc>
          <w:tcPr>
            <w:tcW w:w="28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2"/>
                <w:szCs w:val="22"/>
                <w:highlight w:val="none"/>
                <w:u w:val="none"/>
              </w:rPr>
            </w:pPr>
            <w:r>
              <w:rPr>
                <w:rFonts w:hint="eastAsia" w:ascii="Times New Roman" w:hAnsi="Times New Roman" w:eastAsia="仿宋_GB2312" w:cs="仿宋_GB2312"/>
                <w:i w:val="0"/>
                <w:iCs w:val="0"/>
                <w:color w:val="auto"/>
                <w:spacing w:val="-6"/>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总体目标</w:t>
            </w: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9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44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目标1:巩固参保率。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目标2:稳定住院待遇，稳步提高门诊待遇。</w:t>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br w:type="textWrapping"/>
            </w: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目标3:实现基金收支平衡。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绩效指标</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一级指标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二级指标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三级指标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产出指标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数量指标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center"/>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达到国家下达的年度基本医保参保人数目标值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质量指标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重复参保人数(人)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申请结算补助资金时多报、虚报参保人数(人)</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400" w:lineRule="exact"/>
              <w:jc w:val="left"/>
              <w:textAlignment w:val="top"/>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参保人政策范围内住院费用报销比例</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70%左右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基金滚存结余可支付月数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开展门诊统筹</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满意度指标</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政策知晓率</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参保群众政策知晓率</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普遍知晓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6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autoSpaceDE/>
              <w:bidi w:val="0"/>
              <w:adjustRightInd/>
              <w:snapToGrid/>
              <w:spacing w:line="400" w:lineRule="exact"/>
              <w:jc w:val="center"/>
              <w:rPr>
                <w:rFonts w:hint="eastAsia" w:ascii="Times New Roman" w:hAnsi="Times New Roman" w:eastAsia="仿宋_GB2312" w:cs="仿宋_GB2312"/>
                <w:i w:val="0"/>
                <w:iCs w:val="0"/>
                <w:color w:val="auto"/>
                <w:sz w:val="24"/>
                <w:szCs w:val="24"/>
                <w:highlight w:val="none"/>
                <w:u w:val="none"/>
              </w:rPr>
            </w:pP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服务对象满意度</w:t>
            </w:r>
          </w:p>
        </w:tc>
        <w:tc>
          <w:tcPr>
            <w:tcW w:w="14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left"/>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参保对象满意度(%)</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400" w:lineRule="exact"/>
              <w:jc w:val="center"/>
              <w:textAlignment w:val="center"/>
              <w:rPr>
                <w:rFonts w:hint="eastAsia" w:ascii="Times New Roman" w:hAnsi="Times New Roman" w:eastAsia="仿宋_GB2312" w:cs="仿宋_GB2312"/>
                <w:i w:val="0"/>
                <w:iCs w:val="0"/>
                <w:color w:val="auto"/>
                <w:sz w:val="24"/>
                <w:szCs w:val="24"/>
                <w:highlight w:val="none"/>
                <w:u w:val="none"/>
              </w:rPr>
            </w:pPr>
            <w:r>
              <w:rPr>
                <w:rFonts w:hint="eastAsia" w:ascii="Times New Roman" w:hAnsi="Times New Roman" w:eastAsia="仿宋_GB2312" w:cs="仿宋_GB2312"/>
                <w:i w:val="0"/>
                <w:iCs w:val="0"/>
                <w:color w:val="auto"/>
                <w:spacing w:val="-6"/>
                <w:kern w:val="0"/>
                <w:sz w:val="24"/>
                <w:szCs w:val="24"/>
                <w:highlight w:val="none"/>
                <w:u w:val="none"/>
                <w:lang w:val="en-US" w:eastAsia="zh-CN" w:bidi="ar"/>
              </w:rPr>
              <w:t>≥90%</w:t>
            </w:r>
          </w:p>
        </w:tc>
      </w:tr>
    </w:tbl>
    <w:p>
      <w:pPr>
        <w:pStyle w:val="172"/>
        <w:rPr>
          <w:rFonts w:hint="eastAsia"/>
          <w:color w:val="auto"/>
          <w:highlight w:val="none"/>
        </w:rPr>
      </w:pPr>
    </w:p>
    <w:p>
      <w:pPr>
        <w:tabs>
          <w:tab w:val="left" w:pos="720"/>
        </w:tabs>
        <w:overflowPunct/>
        <w:topLinePunct w:val="0"/>
        <w:autoSpaceDN/>
        <w:adjustRightInd w:val="0"/>
        <w:snapToGrid w:val="0"/>
        <w:spacing w:line="596" w:lineRule="exact"/>
        <w:ind w:firstLine="652" w:firstLineChars="200"/>
        <w:outlineLvl w:val="0"/>
        <w:rPr>
          <w:rFonts w:hint="default" w:ascii="Times New Roman" w:hAnsi="Times New Roman" w:eastAsia="黑体" w:cs="Times New Roman Regular"/>
          <w:color w:val="auto"/>
          <w:spacing w:val="0"/>
          <w:sz w:val="32"/>
          <w:szCs w:val="32"/>
          <w:highlight w:val="none"/>
        </w:rPr>
      </w:pPr>
      <w:r>
        <w:rPr>
          <w:rFonts w:hint="eastAsia" w:ascii="Times New Roman" w:hAnsi="Times New Roman" w:eastAsia="黑体" w:cs="Times New Roman Regular"/>
          <w:color w:val="auto"/>
          <w:spacing w:val="0"/>
          <w:sz w:val="32"/>
          <w:szCs w:val="32"/>
          <w:highlight w:val="none"/>
        </w:rPr>
        <w:t>二、绩效情况分析</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1"/>
        <w:rPr>
          <w:rFonts w:hint="eastAsia" w:ascii="Times New Roman" w:hAnsi="Times New Roman" w:eastAsia="楷体_GB2312" w:cs="Times New Roman Regular"/>
          <w:b w:val="0"/>
          <w:bCs w:val="0"/>
          <w:snapToGrid w:val="0"/>
          <w:color w:val="auto"/>
          <w:spacing w:val="0"/>
          <w:kern w:val="0"/>
          <w:sz w:val="32"/>
          <w:szCs w:val="32"/>
          <w:highlight w:val="none"/>
          <w:lang w:eastAsia="zh-CN"/>
        </w:rPr>
      </w:pP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ascii="Times New Roman" w:hAnsi="Times New Roman" w:eastAsia="楷体_GB2312" w:cs="Times New Roman Regular"/>
          <w:b w:val="0"/>
          <w:bCs w:val="0"/>
          <w:snapToGrid w:val="0"/>
          <w:color w:val="auto"/>
          <w:spacing w:val="0"/>
          <w:kern w:val="0"/>
          <w:sz w:val="32"/>
          <w:szCs w:val="32"/>
          <w:highlight w:val="none"/>
          <w:lang w:val="en-US" w:eastAsia="zh-CN"/>
        </w:rPr>
        <w:t>一</w:t>
      </w:r>
      <w:r>
        <w:rPr>
          <w:rFonts w:hint="eastAsia" w:ascii="Times New Roman" w:hAnsi="Times New Roman" w:eastAsia="楷体_GB2312" w:cs="Times New Roman Regular"/>
          <w:b w:val="0"/>
          <w:bCs w:val="0"/>
          <w:snapToGrid w:val="0"/>
          <w:color w:val="auto"/>
          <w:spacing w:val="0"/>
          <w:kern w:val="0"/>
          <w:sz w:val="32"/>
          <w:szCs w:val="32"/>
          <w:highlight w:val="none"/>
          <w:lang w:eastAsia="zh-CN"/>
        </w:rPr>
        <w:t>）资金投入情况分析</w:t>
      </w:r>
    </w:p>
    <w:p>
      <w:pPr>
        <w:kinsoku/>
        <w:wordWrap w:val="0"/>
        <w:autoSpaceDE/>
        <w:autoSpaceDN/>
        <w:spacing w:line="560" w:lineRule="exact"/>
        <w:ind w:firstLine="652" w:firstLineChars="200"/>
        <w:jc w:val="both"/>
        <w:rPr>
          <w:rFonts w:hint="eastAsia" w:ascii="仿宋_GB2312" w:hAnsi="仿宋_GB2312" w:eastAsia="仿宋_GB2312" w:cs="仿宋_GB2312"/>
          <w:b/>
          <w:bCs/>
          <w:color w:val="auto"/>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1.资金到位情况分析</w:t>
      </w:r>
      <w:r>
        <w:rPr>
          <w:rFonts w:hint="eastAsia" w:ascii="仿宋_GB2312" w:hAnsi="仿宋_GB2312" w:eastAsia="仿宋_GB2312" w:cs="仿宋_GB2312"/>
          <w:b/>
          <w:bCs/>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202</w:t>
      </w:r>
      <w:r>
        <w:rPr>
          <w:rFonts w:hint="eastAsia" w:ascii="Times New Roman" w:hAnsi="Times New Roman" w:eastAsia="方正仿宋_GBK" w:cs="方正仿宋_GBK"/>
          <w:color w:val="auto"/>
          <w:sz w:val="32"/>
          <w:szCs w:val="32"/>
          <w:highlight w:val="none"/>
          <w:lang w:val="en-US" w:eastAsia="zh-CN"/>
        </w:rPr>
        <w:t>5</w:t>
      </w:r>
      <w:r>
        <w:rPr>
          <w:rFonts w:hint="eastAsia" w:ascii="Times New Roman" w:hAnsi="Times New Roman" w:eastAsia="方正仿宋_GBK" w:cs="方正仿宋_GBK"/>
          <w:color w:val="auto"/>
          <w:sz w:val="32"/>
          <w:szCs w:val="32"/>
          <w:highlight w:val="none"/>
        </w:rPr>
        <w:t>年度下达我区城乡居民医疗保险补助资金共计1051924万元，资金到位1051924万元，到位率100%。其中，中央补助资金863291万元，到位率100%；自治区配套资金</w:t>
      </w:r>
      <w:r>
        <w:rPr>
          <w:rFonts w:hint="eastAsia" w:ascii="Times New Roman" w:hAnsi="Times New Roman" w:eastAsia="方正仿宋_GBK" w:cs="方正仿宋_GBK"/>
          <w:color w:val="auto"/>
          <w:sz w:val="32"/>
          <w:szCs w:val="32"/>
          <w:highlight w:val="none"/>
          <w:lang w:val="en-US" w:eastAsia="zh-CN"/>
        </w:rPr>
        <w:t>188633</w:t>
      </w:r>
      <w:r>
        <w:rPr>
          <w:rFonts w:hint="eastAsia" w:ascii="Times New Roman" w:hAnsi="Times New Roman" w:eastAsia="方正仿宋_GBK" w:cs="方正仿宋_GBK"/>
          <w:color w:val="auto"/>
          <w:sz w:val="32"/>
          <w:szCs w:val="32"/>
          <w:highlight w:val="none"/>
        </w:rPr>
        <w:t>万元，到位率100%。</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2.资金执行情况分析</w:t>
      </w:r>
    </w:p>
    <w:p>
      <w:pPr>
        <w:keepNext w:val="0"/>
        <w:keepLines w:val="0"/>
        <w:pageBreakBefore w:val="0"/>
        <w:widowControl w:val="0"/>
        <w:kinsoku/>
        <w:wordWrap/>
        <w:overflowPunct/>
        <w:topLinePunct w:val="0"/>
        <w:autoSpaceDE/>
        <w:autoSpaceDN/>
        <w:bidi w:val="0"/>
        <w:adjustRightInd/>
        <w:snapToGrid/>
        <w:spacing w:line="560" w:lineRule="exact"/>
        <w:ind w:firstLine="628" w:firstLineChars="200"/>
        <w:textAlignment w:val="auto"/>
        <w:rPr>
          <w:rFonts w:ascii="Times New Roman" w:hAnsi="Times New Roman" w:eastAsia="方正仿宋_GBK" w:cs="方正仿宋_GBK"/>
          <w:color w:val="auto"/>
          <w:highlight w:val="none"/>
        </w:rPr>
      </w:pPr>
      <w:r>
        <w:rPr>
          <w:rFonts w:ascii="Times New Roman" w:hAnsi="Times New Roman" w:eastAsia="方正仿宋_GBK" w:cs="方正仿宋_GBK"/>
          <w:color w:val="auto"/>
          <w:sz w:val="32"/>
          <w:szCs w:val="32"/>
          <w:highlight w:val="none"/>
        </w:rPr>
        <w:t>截至2025年12月31日，2025年度</w:t>
      </w:r>
      <w:r>
        <w:rPr>
          <w:rFonts w:hint="eastAsia" w:ascii="Times New Roman" w:hAnsi="Times New Roman" w:eastAsia="方正仿宋_GBK" w:cs="方正仿宋_GBK"/>
          <w:color w:val="auto"/>
          <w:sz w:val="32"/>
          <w:szCs w:val="32"/>
          <w:highlight w:val="none"/>
        </w:rPr>
        <w:t>城乡居民基本医保补助</w:t>
      </w:r>
      <w:r>
        <w:rPr>
          <w:rFonts w:hint="eastAsia" w:eastAsia="方正仿宋_GBK" w:cs="方正仿宋_GBK"/>
          <w:color w:val="auto"/>
          <w:sz w:val="32"/>
          <w:szCs w:val="32"/>
          <w:highlight w:val="none"/>
          <w:lang w:val="en-US" w:eastAsia="zh-CN"/>
        </w:rPr>
        <w:t>资金1051924</w:t>
      </w:r>
      <w:r>
        <w:rPr>
          <w:rFonts w:ascii="Times New Roman" w:hAnsi="Times New Roman" w:eastAsia="方正仿宋_GBK" w:cs="方正仿宋_GBK"/>
          <w:color w:val="auto"/>
          <w:sz w:val="32"/>
          <w:szCs w:val="32"/>
          <w:highlight w:val="none"/>
        </w:rPr>
        <w:t>万元，执行</w:t>
      </w:r>
      <w:r>
        <w:rPr>
          <w:rFonts w:hint="eastAsia" w:eastAsia="方正仿宋_GBK" w:cs="方正仿宋_GBK"/>
          <w:color w:val="auto"/>
          <w:sz w:val="32"/>
          <w:szCs w:val="32"/>
          <w:highlight w:val="none"/>
          <w:lang w:val="en-US" w:eastAsia="zh-CN"/>
        </w:rPr>
        <w:t>数1051924</w:t>
      </w:r>
      <w:r>
        <w:rPr>
          <w:rFonts w:ascii="Times New Roman" w:hAnsi="Times New Roman" w:eastAsia="方正仿宋_GBK" w:cs="方正仿宋_GBK"/>
          <w:color w:val="auto"/>
          <w:sz w:val="32"/>
          <w:szCs w:val="32"/>
          <w:highlight w:val="none"/>
        </w:rPr>
        <w:t>万元，总体执行</w:t>
      </w:r>
      <w:r>
        <w:rPr>
          <w:rFonts w:ascii="Times New Roman" w:hAnsi="Times New Roman" w:eastAsia="方正仿宋_GBK" w:cs="方正仿宋_GBK"/>
          <w:color w:val="auto"/>
          <w:highlight w:val="none"/>
        </w:rPr>
        <w:t>率100%</w:t>
      </w:r>
      <w:r>
        <w:rPr>
          <w:rFonts w:hint="eastAsia" w:eastAsia="方正仿宋_GBK" w:cs="方正仿宋_GBK"/>
          <w:color w:val="auto"/>
          <w:highlight w:val="none"/>
          <w:lang w:eastAsia="zh-CN"/>
        </w:rPr>
        <w:t>。其中，中央补助资金863291万元，</w:t>
      </w:r>
      <w:r>
        <w:rPr>
          <w:rFonts w:hint="eastAsia" w:eastAsia="方正仿宋_GBK" w:cs="方正仿宋_GBK"/>
          <w:color w:val="auto"/>
          <w:highlight w:val="none"/>
          <w:lang w:val="en-US" w:eastAsia="zh-CN"/>
        </w:rPr>
        <w:t>执行</w:t>
      </w:r>
      <w:r>
        <w:rPr>
          <w:rFonts w:hint="eastAsia" w:eastAsia="方正仿宋_GBK" w:cs="方正仿宋_GBK"/>
          <w:color w:val="auto"/>
          <w:highlight w:val="none"/>
          <w:lang w:eastAsia="zh-CN"/>
        </w:rPr>
        <w:t>率100%；自治区配套资金188633万元，</w:t>
      </w:r>
      <w:r>
        <w:rPr>
          <w:rFonts w:hint="eastAsia" w:eastAsia="方正仿宋_GBK" w:cs="方正仿宋_GBK"/>
          <w:color w:val="auto"/>
          <w:highlight w:val="none"/>
          <w:lang w:val="en-US" w:eastAsia="zh-CN"/>
        </w:rPr>
        <w:t>执行率</w:t>
      </w:r>
      <w:r>
        <w:rPr>
          <w:rFonts w:hint="eastAsia" w:eastAsia="方正仿宋_GBK" w:cs="方正仿宋_GBK"/>
          <w:color w:val="auto"/>
          <w:highlight w:val="none"/>
          <w:lang w:eastAsia="zh-CN"/>
        </w:rPr>
        <w:t>100%。</w:t>
      </w:r>
      <w:r>
        <w:rPr>
          <w:rFonts w:ascii="Times New Roman" w:hAnsi="Times New Roman" w:eastAsia="方正仿宋_GBK" w:cs="方正仿宋_GBK"/>
          <w:color w:val="auto"/>
          <w:highlight w:val="none"/>
        </w:rPr>
        <w:t>具体如下：</w:t>
      </w:r>
    </w:p>
    <w:p>
      <w:pPr>
        <w:rPr>
          <w:rFonts w:ascii="Times New Roman" w:hAnsi="Times New Roman" w:eastAsia="方正仿宋_GBK" w:cs="方正仿宋_GBK"/>
          <w:color w:val="auto"/>
          <w:highlight w:val="none"/>
        </w:rPr>
      </w:pPr>
      <w:r>
        <w:rPr>
          <w:rFonts w:ascii="Times New Roman" w:hAnsi="Times New Roman" w:eastAsia="方正仿宋_GBK" w:cs="方正仿宋_GBK"/>
          <w:color w:val="auto"/>
          <w:highlight w:val="none"/>
        </w:rPr>
        <w:br w:type="page"/>
      </w:r>
    </w:p>
    <w:p>
      <w:pPr>
        <w:pStyle w:val="172"/>
        <w:rPr>
          <w:color w:val="auto"/>
          <w:highlight w:val="none"/>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5"/>
        <w:gridCol w:w="1796"/>
        <w:gridCol w:w="1316"/>
        <w:gridCol w:w="1316"/>
        <w:gridCol w:w="1669"/>
        <w:gridCol w:w="16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000" w:type="pct"/>
            <w:gridSpan w:val="6"/>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方正仿宋_GBK" w:hAnsi="方正仿宋_GBK" w:eastAsia="方正仿宋_GBK" w:cs="方正仿宋_GBK"/>
                <w:b/>
                <w:bCs/>
                <w:i w:val="0"/>
                <w:iCs w:val="0"/>
                <w:color w:val="auto"/>
                <w:sz w:val="28"/>
                <w:szCs w:val="28"/>
                <w:highlight w:val="none"/>
                <w:u w:val="none"/>
              </w:rPr>
            </w:pPr>
            <w:r>
              <w:rPr>
                <w:rFonts w:hint="eastAsia" w:ascii="方正仿宋_GBK" w:hAnsi="方正仿宋_GBK" w:eastAsia="方正仿宋_GBK" w:cs="方正仿宋_GBK"/>
                <w:b/>
                <w:bCs/>
                <w:i w:val="0"/>
                <w:iCs w:val="0"/>
                <w:color w:val="auto"/>
                <w:spacing w:val="-6"/>
                <w:kern w:val="0"/>
                <w:sz w:val="28"/>
                <w:szCs w:val="28"/>
                <w:highlight w:val="none"/>
                <w:u w:val="none"/>
                <w:lang w:val="en-US" w:eastAsia="zh-CN" w:bidi="ar"/>
              </w:rPr>
              <w:t>城乡居民基本医疗保险补助资金执行情况表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20"/>
                <w:szCs w:val="20"/>
                <w:highlight w:val="none"/>
                <w:u w:val="none"/>
              </w:rPr>
            </w:pPr>
            <w:r>
              <w:rPr>
                <w:rFonts w:hint="eastAsia" w:ascii="方正仿宋_GBK" w:hAnsi="方正仿宋_GBK" w:eastAsia="方正仿宋_GBK" w:cs="方正仿宋_GBK"/>
                <w:b/>
                <w:bCs/>
                <w:i w:val="0"/>
                <w:iCs w:val="0"/>
                <w:color w:val="auto"/>
                <w:spacing w:val="-6"/>
                <w:kern w:val="0"/>
                <w:sz w:val="20"/>
                <w:szCs w:val="20"/>
                <w:highlight w:val="none"/>
                <w:u w:val="none"/>
                <w:lang w:val="en-US" w:eastAsia="zh-CN" w:bidi="ar"/>
              </w:rPr>
              <w:t xml:space="preserve">                        （</w:t>
            </w:r>
            <w:r>
              <w:rPr>
                <w:rFonts w:hint="default" w:ascii="Times New Roman" w:hAnsi="Times New Roman" w:eastAsia="方正仿宋_GBK" w:cs="Times New Roman"/>
                <w:b/>
                <w:bCs/>
                <w:i w:val="0"/>
                <w:iCs w:val="0"/>
                <w:color w:val="auto"/>
                <w:spacing w:val="-6"/>
                <w:kern w:val="0"/>
                <w:sz w:val="20"/>
                <w:szCs w:val="20"/>
                <w:highlight w:val="none"/>
                <w:u w:val="none"/>
                <w:lang w:val="en-US" w:eastAsia="zh-CN" w:bidi="ar"/>
              </w:rPr>
              <w:t>2025</w:t>
            </w:r>
            <w:r>
              <w:rPr>
                <w:rFonts w:hint="eastAsia" w:ascii="方正仿宋_GBK" w:hAnsi="方正仿宋_GBK" w:eastAsia="方正仿宋_GBK" w:cs="方正仿宋_GBK"/>
                <w:b/>
                <w:bCs/>
                <w:i w:val="0"/>
                <w:iCs w:val="0"/>
                <w:color w:val="auto"/>
                <w:spacing w:val="-6"/>
                <w:kern w:val="0"/>
                <w:sz w:val="20"/>
                <w:szCs w:val="20"/>
                <w:highlight w:val="none"/>
                <w:u w:val="none"/>
                <w:lang w:val="en-US" w:eastAsia="zh-CN" w:bidi="ar"/>
              </w:rPr>
              <w:t>年度）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726"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编号</w:t>
            </w:r>
          </w:p>
        </w:tc>
        <w:tc>
          <w:tcPr>
            <w:tcW w:w="991"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单位</w:t>
            </w:r>
          </w:p>
        </w:tc>
        <w:tc>
          <w:tcPr>
            <w:tcW w:w="1452" w:type="pct"/>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全年预算数</w:t>
            </w:r>
          </w:p>
        </w:tc>
        <w:tc>
          <w:tcPr>
            <w:tcW w:w="1829" w:type="pct"/>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全年执行数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726"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b/>
                <w:bCs/>
                <w:i w:val="0"/>
                <w:iCs w:val="0"/>
                <w:color w:val="auto"/>
                <w:sz w:val="18"/>
                <w:szCs w:val="18"/>
                <w:highlight w:val="none"/>
                <w:u w:val="none"/>
              </w:rPr>
            </w:pPr>
          </w:p>
        </w:tc>
        <w:tc>
          <w:tcPr>
            <w:tcW w:w="991" w:type="pct"/>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方正仿宋_GBK" w:hAnsi="方正仿宋_GBK" w:eastAsia="方正仿宋_GBK" w:cs="方正仿宋_GBK"/>
                <w:b/>
                <w:bCs/>
                <w:i w:val="0"/>
                <w:iCs w:val="0"/>
                <w:color w:val="auto"/>
                <w:sz w:val="18"/>
                <w:szCs w:val="18"/>
                <w:highlight w:val="none"/>
                <w:u w:val="none"/>
              </w:rPr>
            </w:pP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中央</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地方</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中央</w:t>
            </w:r>
          </w:p>
        </w:tc>
        <w:tc>
          <w:tcPr>
            <w:tcW w:w="908" w:type="pc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auto"/>
                <w:sz w:val="18"/>
                <w:szCs w:val="18"/>
                <w:highlight w:val="none"/>
                <w:u w:val="none"/>
              </w:rPr>
            </w:pPr>
            <w:r>
              <w:rPr>
                <w:rFonts w:hint="eastAsia" w:ascii="方正仿宋_GBK" w:hAnsi="方正仿宋_GBK" w:eastAsia="方正仿宋_GBK" w:cs="方正仿宋_GBK"/>
                <w:b/>
                <w:bCs/>
                <w:i w:val="0"/>
                <w:iCs w:val="0"/>
                <w:color w:val="auto"/>
                <w:spacing w:val="-6"/>
                <w:kern w:val="0"/>
                <w:sz w:val="18"/>
                <w:szCs w:val="18"/>
                <w:highlight w:val="none"/>
                <w:u w:val="none"/>
                <w:lang w:val="en-US" w:eastAsia="zh-CN" w:bidi="ar"/>
              </w:rPr>
              <w:t>地方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1717" w:type="pct"/>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全区合计</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863291</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188633</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863291</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188633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乌鲁木齐市</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58076</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4487</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58076</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克拉玛依市</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6112</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466</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6112</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伊犁州</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100129</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15296</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100129</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15296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塔城地区</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34548</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5977</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34548</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5</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阿勒泰地区</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22098</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3858</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22098</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博州</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14344</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2494</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14344</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7</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昌吉州</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42856</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6428</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42856</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6428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巴州</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45300</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6772</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45300</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9</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阿克苏地区</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116527</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20558</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116527</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20558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10</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克州</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28482</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8617</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28482</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8617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11</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喀什地区</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229043</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69465</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229043</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69465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和田地区</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124948</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37736</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124948</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37736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13</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吐鲁番市</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25833</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3898</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25833</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3898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726"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w:t>
            </w:r>
          </w:p>
        </w:tc>
        <w:tc>
          <w:tcPr>
            <w:tcW w:w="99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auto"/>
                <w:sz w:val="22"/>
                <w:szCs w:val="22"/>
                <w:highlight w:val="none"/>
                <w:u w:val="none"/>
              </w:rPr>
            </w:pPr>
            <w:r>
              <w:rPr>
                <w:rFonts w:hint="eastAsia" w:ascii="方正仿宋_GBK" w:hAnsi="方正仿宋_GBK" w:eastAsia="方正仿宋_GBK" w:cs="方正仿宋_GBK"/>
                <w:i w:val="0"/>
                <w:iCs w:val="0"/>
                <w:color w:val="auto"/>
                <w:spacing w:val="-6"/>
                <w:kern w:val="0"/>
                <w:sz w:val="22"/>
                <w:szCs w:val="22"/>
                <w:highlight w:val="none"/>
                <w:u w:val="none"/>
                <w:lang w:val="en-US" w:eastAsia="zh-CN" w:bidi="ar"/>
              </w:rPr>
              <w:t>哈密市</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14995</w:t>
            </w:r>
          </w:p>
        </w:tc>
        <w:tc>
          <w:tcPr>
            <w:tcW w:w="726"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2581</w:t>
            </w:r>
          </w:p>
        </w:tc>
        <w:tc>
          <w:tcPr>
            <w:tcW w:w="92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14995</w:t>
            </w:r>
          </w:p>
        </w:tc>
        <w:tc>
          <w:tcPr>
            <w:tcW w:w="908"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Times New Roman" w:hAnsi="Times New Roman" w:cs="Times New Roman"/>
                <w:i w:val="0"/>
                <w:iCs w:val="0"/>
                <w:color w:val="auto"/>
                <w:sz w:val="22"/>
                <w:szCs w:val="22"/>
                <w:highlight w:val="none"/>
                <w:u w:val="none"/>
              </w:rPr>
            </w:pPr>
            <w:r>
              <w:rPr>
                <w:rFonts w:hint="default" w:ascii="Times New Roman" w:hAnsi="Times New Roman" w:eastAsia="宋体" w:cs="Times New Roman"/>
                <w:i w:val="0"/>
                <w:iCs w:val="0"/>
                <w:color w:val="auto"/>
                <w:spacing w:val="-6"/>
                <w:kern w:val="0"/>
                <w:sz w:val="22"/>
                <w:szCs w:val="22"/>
                <w:highlight w:val="none"/>
                <w:u w:val="none"/>
                <w:lang w:val="en-US" w:eastAsia="zh-CN" w:bidi="ar"/>
              </w:rPr>
              <w:t>2581</w:t>
            </w:r>
          </w:p>
        </w:tc>
      </w:tr>
    </w:tbl>
    <w:p>
      <w:pPr>
        <w:pStyle w:val="2"/>
        <w:rPr>
          <w:color w:val="auto"/>
          <w:highlight w:val="none"/>
        </w:rPr>
      </w:pPr>
    </w:p>
    <w:p>
      <w:pPr>
        <w:pStyle w:val="172"/>
        <w:rPr>
          <w:rFonts w:hint="eastAsia"/>
          <w:color w:val="auto"/>
          <w:highlight w:val="none"/>
          <w:lang w:val="en-US" w:eastAsia="zh-CN"/>
        </w:rPr>
      </w:pP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1"/>
        <w:rPr>
          <w:rFonts w:hint="default" w:ascii="Times New Roman" w:hAnsi="Times New Roman" w:eastAsia="楷体_GB2312" w:cs="Times New Roman Regular"/>
          <w:b w:val="0"/>
          <w:bCs w:val="0"/>
          <w:snapToGrid w:val="0"/>
          <w:color w:val="auto"/>
          <w:spacing w:val="0"/>
          <w:kern w:val="0"/>
          <w:sz w:val="32"/>
          <w:szCs w:val="32"/>
          <w:highlight w:val="none"/>
          <w:lang w:eastAsia="zh-CN"/>
        </w:rPr>
      </w:pP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ascii="Times New Roman" w:hAnsi="Times New Roman" w:eastAsia="楷体_GB2312" w:cs="Times New Roman Regular"/>
          <w:b w:val="0"/>
          <w:bCs w:val="0"/>
          <w:snapToGrid w:val="0"/>
          <w:color w:val="auto"/>
          <w:spacing w:val="0"/>
          <w:kern w:val="0"/>
          <w:sz w:val="32"/>
          <w:szCs w:val="32"/>
          <w:highlight w:val="none"/>
          <w:lang w:val="en-US" w:eastAsia="zh-CN"/>
        </w:rPr>
        <w:t>二</w:t>
      </w:r>
      <w:r>
        <w:rPr>
          <w:rFonts w:hint="eastAsia" w:ascii="Times New Roman" w:hAnsi="Times New Roman" w:eastAsia="楷体_GB2312" w:cs="Times New Roman Regular"/>
          <w:b w:val="0"/>
          <w:bCs w:val="0"/>
          <w:snapToGrid w:val="0"/>
          <w:color w:val="auto"/>
          <w:spacing w:val="0"/>
          <w:kern w:val="0"/>
          <w:sz w:val="32"/>
          <w:szCs w:val="32"/>
          <w:highlight w:val="none"/>
          <w:lang w:eastAsia="zh-CN"/>
        </w:rPr>
        <w:t>）资金管理情况分析</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eastAsia="方正仿宋_GBK" w:cs="方正仿宋_GBK"/>
          <w:color w:val="auto"/>
          <w:highlight w:val="none"/>
          <w:lang w:val="en-US" w:eastAsia="zh-CN"/>
        </w:rPr>
      </w:pPr>
      <w:r>
        <w:rPr>
          <w:rFonts w:hint="eastAsia" w:eastAsia="方正仿宋_GBK" w:cs="方正仿宋_GBK"/>
          <w:color w:val="auto"/>
          <w:highlight w:val="none"/>
          <w:lang w:val="en-US" w:eastAsia="zh-CN"/>
        </w:rPr>
        <w:t>按照国务院《中央财政城乡居民基本医疗保险补助资金管理办法》有关要求，我单位会同自治区财政部门制定居民医疗保险补助资金分配方案，指导督促各统筹地区按要求制定绩效目标，审核汇总各统筹区绩效目标并形成全区整体绩效目标，同时督促各统筹区做好绩效监控、自评和资金监督管理工作。</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ascii="Times New Roman" w:hAnsi="Times New Roman" w:eastAsia="方正仿宋_GBK" w:cs="方正仿宋_GBK"/>
          <w:color w:val="auto"/>
          <w:sz w:val="32"/>
          <w:szCs w:val="32"/>
          <w:highlight w:val="none"/>
          <w:lang w:val="en-US" w:eastAsia="zh-CN"/>
        </w:rPr>
      </w:pPr>
      <w:r>
        <w:rPr>
          <w:rFonts w:hint="eastAsia" w:eastAsia="方正仿宋_GBK" w:cs="方正仿宋_GBK"/>
          <w:color w:val="auto"/>
          <w:highlight w:val="none"/>
          <w:lang w:val="en-US" w:eastAsia="zh-CN"/>
        </w:rPr>
        <w:t>各地区医疗保障经办机构按时与定点医药机构结算，确保医疗保障待遇按时足额发放。我单位对工作缓慢、资金分配不到位、政策落实不到位的统筹区按规定进行了通报批评，确保项目在管理可控范围内顺利实施。</w:t>
      </w:r>
      <w:r>
        <w:rPr>
          <w:rFonts w:hint="eastAsia" w:eastAsia="方正仿宋_GBK" w:cs="方正仿宋_GBK"/>
          <w:color w:val="auto"/>
          <w:sz w:val="32"/>
          <w:szCs w:val="32"/>
          <w:highlight w:val="none"/>
          <w:lang w:val="en-US" w:eastAsia="zh-CN"/>
        </w:rPr>
        <w:t>新疆维吾尔自治区医疗保障局</w:t>
      </w:r>
      <w:r>
        <w:rPr>
          <w:rFonts w:hint="eastAsia" w:ascii="Times New Roman" w:hAnsi="Times New Roman" w:eastAsia="方正仿宋_GBK" w:cs="方正仿宋_GBK"/>
          <w:color w:val="auto"/>
          <w:sz w:val="32"/>
          <w:szCs w:val="32"/>
          <w:highlight w:val="none"/>
          <w:lang w:val="en-US" w:eastAsia="zh-CN"/>
        </w:rPr>
        <w:t>按照国家及</w:t>
      </w:r>
      <w:r>
        <w:rPr>
          <w:rFonts w:hint="eastAsia" w:eastAsia="方正仿宋_GBK" w:cs="方正仿宋_GBK"/>
          <w:color w:val="auto"/>
          <w:sz w:val="32"/>
          <w:szCs w:val="32"/>
          <w:highlight w:val="none"/>
          <w:lang w:val="en-US" w:eastAsia="zh-CN"/>
        </w:rPr>
        <w:t>自治区</w:t>
      </w:r>
      <w:r>
        <w:rPr>
          <w:rFonts w:hint="eastAsia" w:ascii="Times New Roman" w:hAnsi="Times New Roman" w:eastAsia="方正仿宋_GBK" w:cs="方正仿宋_GBK"/>
          <w:color w:val="auto"/>
          <w:sz w:val="32"/>
          <w:szCs w:val="32"/>
          <w:highlight w:val="none"/>
          <w:lang w:val="en-US" w:eastAsia="zh-CN"/>
        </w:rPr>
        <w:t>有关资金管理办法，规范开展预算下达、资金拨付、</w:t>
      </w:r>
      <w:r>
        <w:rPr>
          <w:rFonts w:hint="default" w:eastAsia="方正仿宋_GBK" w:cs="方正仿宋_GBK"/>
          <w:color w:val="auto"/>
          <w:sz w:val="32"/>
          <w:szCs w:val="32"/>
          <w:highlight w:val="none"/>
          <w:lang w:eastAsia="zh-CN"/>
        </w:rPr>
        <w:t>资金</w:t>
      </w:r>
      <w:r>
        <w:rPr>
          <w:rFonts w:hint="eastAsia" w:ascii="Times New Roman" w:hAnsi="Times New Roman" w:eastAsia="方正仿宋_GBK" w:cs="方正仿宋_GBK"/>
          <w:color w:val="auto"/>
          <w:sz w:val="32"/>
          <w:szCs w:val="32"/>
          <w:highlight w:val="none"/>
          <w:lang w:val="en-US" w:eastAsia="zh-CN"/>
        </w:rPr>
        <w:t>管理、基金支付和监督检查等工作，资金管理总体规范、运行平稳，</w:t>
      </w:r>
      <w:r>
        <w:rPr>
          <w:rFonts w:hint="default" w:eastAsia="方正仿宋_GBK" w:cs="方正仿宋_GBK"/>
          <w:color w:val="auto"/>
          <w:sz w:val="32"/>
          <w:szCs w:val="32"/>
          <w:highlight w:val="none"/>
          <w:lang w:eastAsia="zh-CN"/>
        </w:rPr>
        <w:t>做到</w:t>
      </w:r>
      <w:r>
        <w:rPr>
          <w:rFonts w:hint="eastAsia" w:ascii="Times New Roman" w:hAnsi="Times New Roman" w:eastAsia="方正仿宋_GBK" w:cs="方正仿宋_GBK"/>
          <w:color w:val="auto"/>
          <w:sz w:val="32"/>
          <w:szCs w:val="32"/>
          <w:highlight w:val="none"/>
          <w:lang w:val="en-US" w:eastAsia="zh-CN"/>
        </w:rPr>
        <w:t>专款专用、安全高效。</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1.资金分配科学性</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ascii="Times New Roman" w:hAnsi="Times New Roman" w:eastAsia="方正仿宋_GBK" w:cs="方正仿宋_GBK"/>
          <w:color w:val="auto"/>
          <w:sz w:val="32"/>
          <w:szCs w:val="32"/>
          <w:highlight w:val="none"/>
          <w:lang w:val="en-US" w:eastAsia="zh-CN"/>
        </w:rPr>
      </w:pPr>
      <w:r>
        <w:rPr>
          <w:rFonts w:hint="eastAsia" w:ascii="Times New Roman" w:hAnsi="Times New Roman" w:eastAsia="方正仿宋_GBK" w:cs="方正仿宋_GBK"/>
          <w:color w:val="auto"/>
          <w:sz w:val="32"/>
          <w:szCs w:val="32"/>
          <w:highlight w:val="none"/>
          <w:lang w:val="en-US" w:eastAsia="zh-CN"/>
        </w:rPr>
        <w:t>资金分配方案按照《中央财政城乡居民基本医疗保险补助资金管理办法》要求，按照参保人数对中央财政补助资金进行分配，预拨资金按各地参保人数占比分摊至各统筹区，符合财政部和国家医疗保障局下达的文件要求，符合预算管理和城乡居民基本医疗保险补助资金管理要求。</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2.资金下达及时性</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ascii="Times New Roman" w:hAnsi="Times New Roman" w:eastAsia="方正仿宋_GBK" w:cs="方正仿宋_GBK"/>
          <w:color w:val="auto"/>
          <w:sz w:val="32"/>
          <w:szCs w:val="32"/>
          <w:highlight w:val="none"/>
          <w:lang w:val="en-US" w:eastAsia="zh-CN"/>
        </w:rPr>
      </w:pPr>
      <w:r>
        <w:rPr>
          <w:rFonts w:hint="eastAsia" w:ascii="Times New Roman" w:hAnsi="Times New Roman" w:eastAsia="方正仿宋_GBK" w:cs="方正仿宋_GBK"/>
          <w:color w:val="auto"/>
          <w:sz w:val="32"/>
          <w:szCs w:val="32"/>
          <w:highlight w:val="none"/>
          <w:lang w:val="en-US" w:eastAsia="zh-CN"/>
        </w:rPr>
        <w:t>2024年12月，《关于提前下达2025年城乡居民基本医疗保险中央财政补助资金预算的通知》（新财社〔2024〕164号）分解下达资金768595万元、《关于提前下达2025年自治区财政城乡居民基本医疗保险补助资金预算的通知》（新财社〔2024〕180号）分解下达资金180000万元；2025年9月，《关于下达2025年中央城乡居民基本医疗保险补助资金预算的通知》（新财社〔2025〕102号）分解下达资金94696万元、《关于下达2025年自治区财政城乡居民基本医疗保险补助资金的通知》（新财社〔2025〕119号）分解下达资金8633万元。我局严格按照预算法及其实施条例、转移支付管理制度规定以及资金管理办法规定的时限要求及时分解下达。</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3.资金拨付合规性</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ascii="Times New Roman" w:hAnsi="Times New Roman" w:eastAsia="方正仿宋_GBK" w:cs="方正仿宋_GBK"/>
          <w:color w:val="auto"/>
          <w:sz w:val="32"/>
          <w:szCs w:val="32"/>
          <w:highlight w:val="none"/>
          <w:lang w:val="en-US" w:eastAsia="zh-CN"/>
        </w:rPr>
      </w:pPr>
      <w:r>
        <w:rPr>
          <w:rFonts w:hint="eastAsia" w:ascii="Times New Roman" w:hAnsi="Times New Roman" w:eastAsia="方正仿宋_GBK" w:cs="方正仿宋_GBK"/>
          <w:color w:val="auto"/>
          <w:sz w:val="32"/>
          <w:szCs w:val="32"/>
          <w:highlight w:val="none"/>
          <w:lang w:val="en-US" w:eastAsia="zh-CN"/>
        </w:rPr>
        <w:t>按照《社保法》《中央财政城乡居民基本医疗保险补助资金管理办法》，及时从国库户转入社保基金财政专户，专项用于补助居民参加城乡居民基本医疗保险。</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4.资金使用规范性</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ascii="Times New Roman" w:hAnsi="Times New Roman" w:eastAsia="方正仿宋_GBK" w:cs="方正仿宋_GBK"/>
          <w:color w:val="auto"/>
          <w:sz w:val="32"/>
          <w:szCs w:val="32"/>
          <w:highlight w:val="none"/>
          <w:lang w:val="en-US" w:eastAsia="zh-CN"/>
        </w:rPr>
      </w:pPr>
      <w:r>
        <w:rPr>
          <w:rFonts w:hint="eastAsia" w:ascii="Times New Roman" w:hAnsi="Times New Roman" w:eastAsia="方正仿宋_GBK" w:cs="方正仿宋_GBK"/>
          <w:color w:val="auto"/>
          <w:sz w:val="32"/>
          <w:szCs w:val="32"/>
          <w:highlight w:val="none"/>
          <w:lang w:val="en-US" w:eastAsia="zh-CN"/>
        </w:rPr>
        <w:t>严格按照《社保法》规定对城乡居民基本医疗保险参保居民缴费给予补助，未出现截留、挤占、挪用或擅自调整等问题。</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5.资金执行准确性</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eastAsia" w:ascii="Times New Roman" w:hAnsi="Times New Roman" w:eastAsia="方正仿宋_GBK" w:cs="方正仿宋_GBK"/>
          <w:color w:val="auto"/>
          <w:sz w:val="32"/>
          <w:szCs w:val="32"/>
          <w:highlight w:val="none"/>
          <w:lang w:val="en-US" w:eastAsia="zh-CN"/>
        </w:rPr>
      </w:pPr>
      <w:r>
        <w:rPr>
          <w:rFonts w:hint="eastAsia" w:ascii="Times New Roman" w:hAnsi="Times New Roman" w:eastAsia="方正仿宋_GBK" w:cs="方正仿宋_GBK"/>
          <w:color w:val="auto"/>
          <w:sz w:val="32"/>
          <w:szCs w:val="32"/>
          <w:highlight w:val="none"/>
          <w:lang w:val="en-US" w:eastAsia="zh-CN"/>
        </w:rPr>
        <w:t>2025年度城乡居民基本医保补助资金1051924万元，执行数1051924万元，资金执行率100%，</w:t>
      </w:r>
      <w:r>
        <w:rPr>
          <w:rFonts w:hint="default" w:ascii="Times New Roman" w:hAnsi="Times New Roman" w:eastAsia="方正仿宋_GBK" w:cs="方正仿宋_GBK"/>
          <w:color w:val="auto"/>
          <w:sz w:val="32"/>
          <w:szCs w:val="32"/>
          <w:highlight w:val="none"/>
          <w:lang w:val="en-US" w:eastAsia="zh-CN"/>
        </w:rPr>
        <w:t>能够按进度及时拨付资金到位，切实保障基金运行安全</w:t>
      </w:r>
      <w:r>
        <w:rPr>
          <w:rFonts w:hint="eastAsia" w:ascii="Times New Roman" w:hAnsi="Times New Roman" w:eastAsia="方正仿宋_GBK" w:cs="方正仿宋_GBK"/>
          <w:color w:val="auto"/>
          <w:sz w:val="32"/>
          <w:szCs w:val="32"/>
          <w:highlight w:val="none"/>
          <w:lang w:val="en-US" w:eastAsia="zh-CN"/>
        </w:rPr>
        <w:t>。</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6.预算绩效管理情况</w:t>
      </w:r>
    </w:p>
    <w:p>
      <w:pPr>
        <w:keepNext w:val="0"/>
        <w:keepLines w:val="0"/>
        <w:pageBreakBefore w:val="0"/>
        <w:kinsoku/>
        <w:wordWrap/>
        <w:overflowPunct/>
        <w:topLinePunct w:val="0"/>
        <w:autoSpaceDE/>
        <w:autoSpaceDN/>
        <w:bidi w:val="0"/>
        <w:adjustRightInd/>
        <w:snapToGrid/>
        <w:spacing w:line="560" w:lineRule="exact"/>
        <w:ind w:left="-536" w:leftChars="-171" w:right="-562" w:rightChars="-179" w:firstLine="942" w:firstLineChars="3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b/>
          <w:bCs/>
          <w:color w:val="auto"/>
          <w:sz w:val="32"/>
          <w:szCs w:val="32"/>
          <w:highlight w:val="none"/>
          <w:lang w:eastAsia="zh-CN"/>
        </w:rPr>
        <w:t>一是</w:t>
      </w:r>
      <w:r>
        <w:rPr>
          <w:rFonts w:hint="eastAsia" w:ascii="方正仿宋_GBK" w:hAnsi="方正仿宋_GBK" w:eastAsia="方正仿宋_GBK" w:cs="方正仿宋_GBK"/>
          <w:color w:val="auto"/>
          <w:sz w:val="32"/>
          <w:szCs w:val="32"/>
          <w:highlight w:val="none"/>
          <w:lang w:eastAsia="zh-CN"/>
        </w:rPr>
        <w:t>绩效目标管理逐步规范，按要求设定绩效目标，涵盖产出、效益、满意度等维度，目标指向清晰，与资金政策目标匹配。</w:t>
      </w:r>
      <w:r>
        <w:rPr>
          <w:rFonts w:hint="eastAsia" w:ascii="方正仿宋_GBK" w:hAnsi="方正仿宋_GBK" w:eastAsia="方正仿宋_GBK" w:cs="方正仿宋_GBK"/>
          <w:b/>
          <w:bCs/>
          <w:color w:val="auto"/>
          <w:sz w:val="32"/>
          <w:szCs w:val="32"/>
          <w:highlight w:val="none"/>
          <w:lang w:eastAsia="zh-CN"/>
        </w:rPr>
        <w:t>二是</w:t>
      </w:r>
      <w:r>
        <w:rPr>
          <w:rFonts w:hint="eastAsia" w:ascii="方正仿宋_GBK" w:hAnsi="方正仿宋_GBK" w:eastAsia="方正仿宋_GBK" w:cs="方正仿宋_GBK"/>
          <w:color w:val="auto"/>
          <w:sz w:val="32"/>
          <w:szCs w:val="32"/>
          <w:highlight w:val="none"/>
          <w:lang w:eastAsia="zh-CN"/>
        </w:rPr>
        <w:t>绩效运行监控有序实施。对资金执行进度、绩效目标实现程度开展定期监控，按期跟踪偏差、自评原因并采取有效措施。</w:t>
      </w:r>
      <w:r>
        <w:rPr>
          <w:rFonts w:hint="eastAsia" w:ascii="方正仿宋_GBK" w:hAnsi="方正仿宋_GBK" w:eastAsia="方正仿宋_GBK" w:cs="方正仿宋_GBK"/>
          <w:b/>
          <w:bCs/>
          <w:color w:val="auto"/>
          <w:sz w:val="32"/>
          <w:szCs w:val="32"/>
          <w:highlight w:val="none"/>
          <w:lang w:eastAsia="zh-CN"/>
        </w:rPr>
        <w:t>三是</w:t>
      </w:r>
      <w:r>
        <w:rPr>
          <w:rFonts w:hint="eastAsia" w:ascii="方正仿宋_GBK" w:hAnsi="方正仿宋_GBK" w:eastAsia="方正仿宋_GBK" w:cs="方正仿宋_GBK"/>
          <w:color w:val="auto"/>
          <w:sz w:val="32"/>
          <w:szCs w:val="32"/>
          <w:highlight w:val="none"/>
          <w:lang w:eastAsia="zh-CN"/>
        </w:rPr>
        <w:t>绩效评价与结果应用不断强化，按规定开展绩效自评，评价结果应用于资金分配、政策完善、管理改进等方面。</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7.支出责任履行情况</w:t>
      </w:r>
    </w:p>
    <w:p>
      <w:pPr>
        <w:keepNext w:val="0"/>
        <w:keepLines w:val="0"/>
        <w:pageBreakBefore w:val="0"/>
        <w:widowControl w:val="0"/>
        <w:numPr>
          <w:ilvl w:val="0"/>
          <w:numId w:val="0"/>
        </w:numPr>
        <w:kinsoku/>
        <w:wordWrap/>
        <w:autoSpaceDE/>
        <w:bidi w:val="0"/>
        <w:adjustRightInd/>
        <w:snapToGrid/>
        <w:spacing w:before="40" w:line="560" w:lineRule="exact"/>
        <w:ind w:firstLine="628" w:firstLineChars="200"/>
        <w:textAlignment w:val="auto"/>
        <w:outlineLvl w:val="9"/>
        <w:rPr>
          <w:rFonts w:hint="default" w:ascii="Times New Roman" w:hAnsi="Times New Roman" w:eastAsia="方正仿宋_GBK" w:cs="方正仿宋_GBK"/>
          <w:color w:val="auto"/>
          <w:highlight w:val="none"/>
          <w:lang w:val="en-US" w:eastAsia="zh-CN"/>
        </w:rPr>
      </w:pPr>
      <w:r>
        <w:rPr>
          <w:rFonts w:hint="default" w:eastAsia="方正仿宋_GBK" w:cs="方正仿宋_GBK"/>
          <w:b/>
          <w:bCs/>
          <w:color w:val="auto"/>
          <w:sz w:val="32"/>
          <w:szCs w:val="32"/>
          <w:highlight w:val="none"/>
          <w:lang w:eastAsia="zh-CN"/>
        </w:rPr>
        <w:t>一是</w:t>
      </w:r>
      <w:r>
        <w:rPr>
          <w:rFonts w:hint="default" w:eastAsia="方正仿宋_GBK" w:cs="方正仿宋_GBK"/>
          <w:b w:val="0"/>
          <w:bCs w:val="0"/>
          <w:color w:val="auto"/>
          <w:sz w:val="32"/>
          <w:szCs w:val="32"/>
          <w:highlight w:val="none"/>
          <w:lang w:eastAsia="zh-CN"/>
        </w:rPr>
        <w:t>严格按照有关规定实施资金管理</w:t>
      </w:r>
      <w:r>
        <w:rPr>
          <w:rFonts w:hint="eastAsia" w:eastAsia="方正仿宋_GBK" w:cs="方正仿宋_GBK"/>
          <w:color w:val="auto"/>
          <w:sz w:val="32"/>
          <w:szCs w:val="32"/>
          <w:highlight w:val="none"/>
          <w:lang w:val="en-US" w:eastAsia="zh-CN"/>
        </w:rPr>
        <w:t>，实行国库集中支付、专户管理、专账核算，确保资金专款专用、封闭运行，</w:t>
      </w:r>
      <w:r>
        <w:rPr>
          <w:rFonts w:hint="default" w:eastAsia="方正仿宋_GBK" w:cs="方正仿宋_GBK"/>
          <w:color w:val="auto"/>
          <w:sz w:val="32"/>
          <w:szCs w:val="32"/>
          <w:highlight w:val="none"/>
          <w:lang w:eastAsia="zh-CN"/>
        </w:rPr>
        <w:t>确保基金运行安全</w:t>
      </w:r>
      <w:r>
        <w:rPr>
          <w:rFonts w:hint="eastAsia" w:eastAsia="方正仿宋_GBK" w:cs="方正仿宋_GBK"/>
          <w:color w:val="auto"/>
          <w:sz w:val="32"/>
          <w:szCs w:val="32"/>
          <w:highlight w:val="none"/>
          <w:lang w:val="en-US" w:eastAsia="zh-CN"/>
        </w:rPr>
        <w:t>。</w:t>
      </w:r>
      <w:r>
        <w:rPr>
          <w:rFonts w:hint="default" w:eastAsia="方正仿宋_GBK" w:cs="方正仿宋_GBK"/>
          <w:b/>
          <w:bCs/>
          <w:color w:val="auto"/>
          <w:sz w:val="32"/>
          <w:szCs w:val="32"/>
          <w:highlight w:val="none"/>
          <w:lang w:eastAsia="zh-CN"/>
        </w:rPr>
        <w:t>二是</w:t>
      </w:r>
      <w:r>
        <w:rPr>
          <w:rFonts w:hint="default" w:eastAsia="方正仿宋_GBK" w:cs="方正仿宋_GBK"/>
          <w:b w:val="0"/>
          <w:bCs w:val="0"/>
          <w:color w:val="auto"/>
          <w:sz w:val="32"/>
          <w:szCs w:val="32"/>
          <w:highlight w:val="none"/>
          <w:lang w:eastAsia="zh-CN"/>
        </w:rPr>
        <w:t>补助资金按要求及时到位</w:t>
      </w:r>
      <w:r>
        <w:rPr>
          <w:rFonts w:hint="eastAsia" w:eastAsia="方正仿宋_GBK" w:cs="方正仿宋_GBK"/>
          <w:color w:val="auto"/>
          <w:sz w:val="32"/>
          <w:szCs w:val="32"/>
          <w:highlight w:val="none"/>
          <w:lang w:val="en-US" w:eastAsia="zh-CN"/>
        </w:rPr>
        <w:t>，保障</w:t>
      </w:r>
      <w:r>
        <w:rPr>
          <w:rFonts w:hint="default" w:eastAsia="方正仿宋_GBK" w:cs="方正仿宋_GBK"/>
          <w:color w:val="auto"/>
          <w:sz w:val="32"/>
          <w:szCs w:val="32"/>
          <w:highlight w:val="none"/>
          <w:lang w:eastAsia="zh-CN"/>
        </w:rPr>
        <w:t>相关待遇及时</w:t>
      </w:r>
      <w:r>
        <w:rPr>
          <w:rFonts w:hint="eastAsia" w:eastAsia="方正仿宋_GBK" w:cs="方正仿宋_GBK"/>
          <w:color w:val="auto"/>
          <w:sz w:val="32"/>
          <w:szCs w:val="32"/>
          <w:highlight w:val="none"/>
          <w:lang w:val="en-US" w:eastAsia="zh-CN"/>
        </w:rPr>
        <w:t>足额支付，切实减轻群众就医负担。</w:t>
      </w:r>
      <w:r>
        <w:rPr>
          <w:rFonts w:hint="default" w:eastAsia="方正仿宋_GBK" w:cs="方正仿宋_GBK"/>
          <w:b/>
          <w:bCs/>
          <w:color w:val="auto"/>
          <w:sz w:val="32"/>
          <w:szCs w:val="32"/>
          <w:highlight w:val="none"/>
          <w:lang w:eastAsia="zh-CN"/>
        </w:rPr>
        <w:t>三是</w:t>
      </w:r>
      <w:r>
        <w:rPr>
          <w:rFonts w:hint="eastAsia" w:eastAsia="方正仿宋_GBK" w:cs="方正仿宋_GBK"/>
          <w:color w:val="auto"/>
          <w:sz w:val="32"/>
          <w:szCs w:val="32"/>
          <w:highlight w:val="none"/>
          <w:lang w:val="en-US" w:eastAsia="zh-CN"/>
        </w:rPr>
        <w:t>建立健全资金使用、基金运行、内控稽核和监督检查机制，加强</w:t>
      </w:r>
      <w:r>
        <w:rPr>
          <w:rFonts w:hint="default" w:eastAsia="方正仿宋_GBK" w:cs="方正仿宋_GBK"/>
          <w:color w:val="auto"/>
          <w:sz w:val="32"/>
          <w:szCs w:val="32"/>
          <w:highlight w:val="none"/>
          <w:lang w:eastAsia="zh-CN"/>
        </w:rPr>
        <w:t>基金运行管理和绩效监控</w:t>
      </w:r>
      <w:r>
        <w:rPr>
          <w:rFonts w:hint="eastAsia" w:eastAsia="方正仿宋_GBK" w:cs="方正仿宋_GBK"/>
          <w:color w:val="auto"/>
          <w:sz w:val="32"/>
          <w:szCs w:val="32"/>
          <w:highlight w:val="none"/>
          <w:lang w:val="en-US" w:eastAsia="zh-CN"/>
        </w:rPr>
        <w:t>，确保补</w:t>
      </w:r>
      <w:r>
        <w:rPr>
          <w:rFonts w:hint="eastAsia" w:ascii="Times New Roman" w:hAnsi="Times New Roman" w:eastAsia="方正仿宋_GBK" w:cs="方正仿宋_GBK"/>
          <w:color w:val="auto"/>
          <w:highlight w:val="none"/>
          <w:lang w:val="en-US" w:eastAsia="zh-CN"/>
        </w:rPr>
        <w:t>助资金安全、规范、高效使用</w:t>
      </w:r>
      <w:r>
        <w:rPr>
          <w:rFonts w:hint="default" w:eastAsia="方正仿宋_GBK" w:cs="方正仿宋_GBK"/>
          <w:color w:val="auto"/>
          <w:highlight w:val="none"/>
          <w:lang w:eastAsia="zh-CN"/>
        </w:rPr>
        <w:t>。</w:t>
      </w:r>
      <w:r>
        <w:rPr>
          <w:rFonts w:hint="eastAsia" w:ascii="Times New Roman" w:hAnsi="Times New Roman" w:eastAsia="方正仿宋_GBK" w:cs="方正仿宋_GBK"/>
          <w:color w:val="auto"/>
          <w:highlight w:val="none"/>
          <w:lang w:val="en-US" w:eastAsia="zh-CN"/>
        </w:rPr>
        <w:t>支出责任履行到位。</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1"/>
        <w:rPr>
          <w:rFonts w:hint="eastAsia" w:ascii="Times New Roman" w:hAnsi="Times New Roman" w:eastAsia="楷体_GB2312" w:cs="Times New Roman Regular"/>
          <w:b w:val="0"/>
          <w:bCs w:val="0"/>
          <w:snapToGrid w:val="0"/>
          <w:color w:val="auto"/>
          <w:spacing w:val="0"/>
          <w:kern w:val="0"/>
          <w:sz w:val="32"/>
          <w:szCs w:val="32"/>
          <w:highlight w:val="none"/>
          <w:lang w:val="en-US" w:eastAsia="zh-CN"/>
        </w:rPr>
      </w:pPr>
      <w:r>
        <w:rPr>
          <w:rFonts w:hint="eastAsia" w:ascii="Times New Roman" w:hAnsi="Times New Roman" w:eastAsia="楷体_GB2312" w:cs="Times New Roman Regular"/>
          <w:b w:val="0"/>
          <w:bCs w:val="0"/>
          <w:snapToGrid w:val="0"/>
          <w:color w:val="auto"/>
          <w:spacing w:val="0"/>
          <w:kern w:val="0"/>
          <w:sz w:val="32"/>
          <w:szCs w:val="32"/>
          <w:highlight w:val="none"/>
          <w:lang w:val="en-US" w:eastAsia="zh-CN"/>
        </w:rPr>
        <w:t>（三）总体绩效目标完成情况分析</w:t>
      </w:r>
    </w:p>
    <w:p>
      <w:pPr>
        <w:keepNext w:val="0"/>
        <w:keepLines w:val="0"/>
        <w:pageBreakBefore w:val="0"/>
        <w:widowControl w:val="0"/>
        <w:numPr>
          <w:ilvl w:val="0"/>
          <w:numId w:val="0"/>
        </w:numPr>
        <w:kinsoku/>
        <w:wordWrap/>
        <w:autoSpaceDE/>
        <w:bidi w:val="0"/>
        <w:spacing w:before="40" w:line="560" w:lineRule="exact"/>
        <w:ind w:firstLine="628" w:firstLineChars="200"/>
        <w:textAlignment w:val="auto"/>
        <w:outlineLvl w:val="9"/>
        <w:rPr>
          <w:rFonts w:hint="eastAsia" w:ascii="楷体" w:hAnsi="楷体" w:eastAsia="楷体" w:cs="楷体"/>
          <w:color w:val="auto"/>
          <w:spacing w:val="10"/>
          <w:sz w:val="32"/>
          <w:szCs w:val="32"/>
          <w:highlight w:val="none"/>
          <w:lang w:val="en-US" w:eastAsia="zh-CN"/>
        </w:rPr>
      </w:pPr>
      <w:r>
        <w:rPr>
          <w:rFonts w:hint="eastAsia" w:eastAsia="方正仿宋_GBK" w:cs="方正仿宋_GBK"/>
          <w:b/>
          <w:bCs/>
          <w:color w:val="auto"/>
          <w:sz w:val="32"/>
          <w:szCs w:val="32"/>
          <w:highlight w:val="none"/>
          <w:lang w:val="en-US" w:eastAsia="zh-CN"/>
        </w:rPr>
        <w:t>一是</w:t>
      </w:r>
      <w:r>
        <w:rPr>
          <w:rFonts w:hint="eastAsia" w:eastAsia="方正仿宋_GBK" w:cs="方正仿宋_GBK"/>
          <w:color w:val="auto"/>
          <w:sz w:val="32"/>
          <w:szCs w:val="32"/>
          <w:highlight w:val="none"/>
          <w:lang w:val="en-US" w:eastAsia="zh-CN"/>
        </w:rPr>
        <w:t>持续巩固基本医疗保险参保覆盖面，稳定参保率，确保应保尽保，2025年参保人数完成2103.98万人，完成国家下达的年度基本医保参保人数目标值2093万人</w:t>
      </w:r>
      <w:r>
        <w:rPr>
          <w:rFonts w:hint="default" w:eastAsia="方正仿宋_GBK" w:cs="方正仿宋_GBK"/>
          <w:color w:val="auto"/>
          <w:sz w:val="32"/>
          <w:szCs w:val="32"/>
          <w:highlight w:val="none"/>
          <w:lang w:eastAsia="zh-CN"/>
        </w:rPr>
        <w:t>。</w:t>
      </w:r>
      <w:r>
        <w:rPr>
          <w:rFonts w:hint="eastAsia" w:eastAsia="方正仿宋_GBK" w:cs="方正仿宋_GBK"/>
          <w:b/>
          <w:bCs/>
          <w:color w:val="auto"/>
          <w:sz w:val="32"/>
          <w:szCs w:val="32"/>
          <w:highlight w:val="none"/>
          <w:lang w:val="en-US" w:eastAsia="zh-CN"/>
        </w:rPr>
        <w:t>二是</w:t>
      </w:r>
      <w:r>
        <w:rPr>
          <w:rFonts w:hint="eastAsia" w:eastAsia="方正仿宋_GBK" w:cs="方正仿宋_GBK"/>
          <w:color w:val="auto"/>
          <w:sz w:val="32"/>
          <w:szCs w:val="32"/>
          <w:highlight w:val="none"/>
          <w:lang w:val="en-US" w:eastAsia="zh-CN"/>
        </w:rPr>
        <w:t>稳定住院医疗保障待遇水平，稳步提高门诊统筹保障待遇，参保人政策范围内住院费用报销比例达到70.86%，增强了群众就医获得感。</w:t>
      </w:r>
      <w:r>
        <w:rPr>
          <w:rFonts w:hint="eastAsia" w:eastAsia="方正仿宋_GBK" w:cs="方正仿宋_GBK"/>
          <w:b/>
          <w:bCs/>
          <w:color w:val="auto"/>
          <w:sz w:val="32"/>
          <w:szCs w:val="32"/>
          <w:highlight w:val="none"/>
          <w:lang w:val="en-US" w:eastAsia="zh-CN"/>
        </w:rPr>
        <w:t>三是</w:t>
      </w:r>
      <w:r>
        <w:rPr>
          <w:rFonts w:hint="eastAsia" w:eastAsia="方正仿宋_GBK" w:cs="方正仿宋_GBK"/>
          <w:color w:val="auto"/>
          <w:sz w:val="32"/>
          <w:szCs w:val="32"/>
          <w:highlight w:val="none"/>
          <w:lang w:val="en-US" w:eastAsia="zh-CN"/>
        </w:rPr>
        <w:t>强化医保基金收支管理，严格控制基金运行风险，确保实现基金收支平衡，基金滚存结余可支付月数11个月，保障基金安全高效、可持续运行。</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1"/>
        <w:rPr>
          <w:rFonts w:hint="default" w:ascii="Times New Roman" w:hAnsi="Times New Roman" w:eastAsia="楷体_GB2312" w:cs="Times New Roman Regular"/>
          <w:b w:val="0"/>
          <w:bCs w:val="0"/>
          <w:snapToGrid w:val="0"/>
          <w:color w:val="auto"/>
          <w:spacing w:val="0"/>
          <w:kern w:val="0"/>
          <w:sz w:val="32"/>
          <w:szCs w:val="32"/>
          <w:highlight w:val="none"/>
        </w:rPr>
      </w:pP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ascii="Times New Roman" w:hAnsi="Times New Roman" w:eastAsia="楷体_GB2312" w:cs="Times New Roman Regular"/>
          <w:b w:val="0"/>
          <w:bCs w:val="0"/>
          <w:snapToGrid w:val="0"/>
          <w:color w:val="auto"/>
          <w:spacing w:val="0"/>
          <w:kern w:val="0"/>
          <w:sz w:val="32"/>
          <w:szCs w:val="32"/>
          <w:highlight w:val="none"/>
          <w:lang w:val="en-US" w:eastAsia="zh-CN"/>
        </w:rPr>
        <w:t>四</w:t>
      </w:r>
      <w:r>
        <w:rPr>
          <w:rFonts w:hint="eastAsia" w:ascii="Times New Roman" w:hAnsi="Times New Roman" w:eastAsia="楷体_GB2312" w:cs="Times New Roman Regular"/>
          <w:b w:val="0"/>
          <w:bCs w:val="0"/>
          <w:snapToGrid w:val="0"/>
          <w:color w:val="auto"/>
          <w:spacing w:val="0"/>
          <w:kern w:val="0"/>
          <w:sz w:val="32"/>
          <w:szCs w:val="32"/>
          <w:highlight w:val="none"/>
          <w:lang w:eastAsia="zh-CN"/>
        </w:rPr>
        <w:t>）绩效指标完成情况分析</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eastAsia"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1.产出指标完成情况分析</w:t>
      </w:r>
    </w:p>
    <w:p>
      <w:pPr>
        <w:pStyle w:val="7"/>
        <w:spacing w:line="560" w:lineRule="exact"/>
        <w:ind w:firstLine="668" w:firstLineChars="200"/>
        <w:rPr>
          <w:rFonts w:hint="default" w:ascii="Times New Roman" w:hAnsi="Times New Roman" w:eastAsia="方正仿宋_GBK" w:cs="方正仿宋_GBK"/>
          <w:color w:val="auto"/>
          <w:highlight w:val="none"/>
          <w:lang w:val="en-US" w:eastAsia="zh-CN"/>
        </w:rPr>
      </w:pPr>
      <w:r>
        <w:rPr>
          <w:rFonts w:hint="eastAsia" w:ascii="仿宋_GB2312" w:hAnsi="仿宋_GB2312" w:eastAsia="仿宋_GB2312" w:cs="仿宋_GB2312"/>
          <w:bCs/>
          <w:color w:val="auto"/>
          <w:spacing w:val="4"/>
          <w:highlight w:val="none"/>
          <w:lang w:eastAsia="zh-CN"/>
        </w:rPr>
        <w:t>（1）数量指标</w:t>
      </w:r>
    </w:p>
    <w:p>
      <w:pPr>
        <w:keepNext w:val="0"/>
        <w:keepLines w:val="0"/>
        <w:pageBreakBefore w:val="0"/>
        <w:widowControl w:val="0"/>
        <w:numPr>
          <w:ilvl w:val="0"/>
          <w:numId w:val="0"/>
        </w:numPr>
        <w:tabs>
          <w:tab w:val="left" w:pos="1850"/>
        </w:tabs>
        <w:kinsoku/>
        <w:wordWrap/>
        <w:autoSpaceDE/>
        <w:bidi w:val="0"/>
        <w:spacing w:before="40" w:line="560" w:lineRule="exact"/>
        <w:ind w:firstLine="628" w:firstLineChars="200"/>
        <w:textAlignment w:val="auto"/>
        <w:outlineLvl w:val="9"/>
        <w:rPr>
          <w:rFonts w:hint="default" w:ascii="Times New Roman" w:hAnsi="Times New Roman" w:eastAsia="方正仿宋_GBK" w:cs="方正仿宋_GBK"/>
          <w:color w:val="auto"/>
          <w:highlight w:val="none"/>
        </w:rPr>
      </w:pPr>
      <w:r>
        <w:rPr>
          <w:rFonts w:hint="eastAsia" w:ascii="Times New Roman" w:hAnsi="Times New Roman" w:eastAsia="方正仿宋_GBK" w:cs="方正仿宋_GBK"/>
          <w:color w:val="auto"/>
          <w:highlight w:val="none"/>
        </w:rPr>
        <w:t>a.财政部随文下达参保人数（人）</w:t>
      </w:r>
      <w:r>
        <w:rPr>
          <w:rFonts w:hint="eastAsia" w:eastAsia="方正仿宋_GBK" w:cs="方正仿宋_GBK"/>
          <w:color w:val="auto"/>
          <w:highlight w:val="none"/>
          <w:lang w:val="en-US" w:eastAsia="zh-CN"/>
        </w:rPr>
        <w:t>指标</w:t>
      </w:r>
      <w:r>
        <w:rPr>
          <w:rFonts w:hint="eastAsia" w:ascii="Times New Roman" w:hAnsi="Times New Roman" w:eastAsia="方正仿宋_GBK" w:cs="方正仿宋_GBK"/>
          <w:color w:val="auto"/>
          <w:highlight w:val="none"/>
        </w:rPr>
        <w:t>，</w:t>
      </w:r>
      <w:r>
        <w:rPr>
          <w:rFonts w:ascii="Times New Roman" w:hAnsi="Times New Roman" w:eastAsia="方正仿宋_GBK" w:cs="方正仿宋_GBK"/>
          <w:color w:val="auto"/>
          <w:highlight w:val="none"/>
        </w:rPr>
        <w:t>指标值为达到国家下达的年度基本医保参保人数目标值。截至2025年12月底，全区基本医疗保险参保人数达2103.98万人，完成国家医保局下达全年参保人数2093万人的100.52%，完成率100%，偏差率0</w:t>
      </w:r>
      <w:r>
        <w:rPr>
          <w:rFonts w:hint="eastAsia" w:eastAsia="方正仿宋_GBK" w:cs="方正仿宋_GBK"/>
          <w:color w:val="auto"/>
          <w:highlight w:val="none"/>
          <w:lang w:val="en-US" w:eastAsia="zh-CN"/>
        </w:rPr>
        <w:t>.52</w:t>
      </w:r>
      <w:r>
        <w:rPr>
          <w:rFonts w:ascii="Times New Roman" w:hAnsi="Times New Roman" w:eastAsia="方正仿宋_GBK" w:cs="方正仿宋_GBK"/>
          <w:color w:val="auto"/>
          <w:highlight w:val="none"/>
        </w:rPr>
        <w:t>%。</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default" w:ascii="Times New Roman" w:hAnsi="Times New Roman" w:eastAsia="方正仿宋_GBK" w:cs="方正仿宋_GBK"/>
          <w:color w:val="auto"/>
          <w:highlight w:val="none"/>
          <w:lang w:val="en-US" w:eastAsia="zh-CN"/>
        </w:rPr>
      </w:pPr>
      <w:r>
        <w:rPr>
          <w:rFonts w:hint="eastAsia" w:eastAsia="方正仿宋_GBK" w:cs="方正仿宋_GBK"/>
          <w:color w:val="auto"/>
          <w:highlight w:val="none"/>
          <w:lang w:eastAsia="zh-CN"/>
        </w:rPr>
        <w:t>（</w:t>
      </w:r>
      <w:r>
        <w:rPr>
          <w:rFonts w:hint="eastAsia" w:eastAsia="方正仿宋_GBK" w:cs="方正仿宋_GBK"/>
          <w:color w:val="auto"/>
          <w:highlight w:val="none"/>
          <w:lang w:val="en-US" w:eastAsia="zh-CN"/>
        </w:rPr>
        <w:t>2</w:t>
      </w:r>
      <w:r>
        <w:rPr>
          <w:rFonts w:hint="eastAsia" w:eastAsia="方正仿宋_GBK" w:cs="方正仿宋_GBK"/>
          <w:color w:val="auto"/>
          <w:highlight w:val="none"/>
          <w:lang w:eastAsia="zh-CN"/>
        </w:rPr>
        <w:t>）</w:t>
      </w:r>
      <w:r>
        <w:rPr>
          <w:rFonts w:hint="eastAsia" w:eastAsia="方正仿宋_GBK" w:cs="方正仿宋_GBK"/>
          <w:color w:val="auto"/>
          <w:highlight w:val="none"/>
          <w:lang w:val="en-US" w:eastAsia="zh-CN"/>
        </w:rPr>
        <w:t>质量指标</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ascii="Times New Roman" w:hAnsi="Times New Roman" w:eastAsia="方正仿宋_GBK" w:cs="方正仿宋_GBK"/>
          <w:color w:val="auto"/>
          <w:highlight w:val="none"/>
        </w:rPr>
      </w:pPr>
      <w:r>
        <w:rPr>
          <w:rFonts w:hint="eastAsia" w:ascii="Times New Roman" w:hAnsi="Times New Roman" w:eastAsia="方正仿宋_GBK" w:cs="方正仿宋_GBK"/>
          <w:color w:val="auto"/>
          <w:highlight w:val="none"/>
        </w:rPr>
        <w:t>a.财政部随文下达重复参保人数（人）</w:t>
      </w:r>
      <w:r>
        <w:rPr>
          <w:rFonts w:hint="eastAsia" w:eastAsia="方正仿宋_GBK" w:cs="方正仿宋_GBK"/>
          <w:color w:val="auto"/>
          <w:highlight w:val="none"/>
          <w:lang w:val="en-US" w:eastAsia="zh-CN"/>
        </w:rPr>
        <w:t>指标</w:t>
      </w:r>
      <w:r>
        <w:rPr>
          <w:rFonts w:ascii="Times New Roman" w:hAnsi="Times New Roman" w:eastAsia="方正仿宋_GBK" w:cs="方正仿宋_GBK"/>
          <w:color w:val="auto"/>
          <w:highlight w:val="none"/>
        </w:rPr>
        <w:t>，指标值为0</w:t>
      </w:r>
      <w:r>
        <w:rPr>
          <w:rFonts w:hint="eastAsia" w:eastAsia="方正仿宋_GBK" w:cs="方正仿宋_GBK"/>
          <w:color w:val="auto"/>
          <w:highlight w:val="none"/>
          <w:lang w:eastAsia="zh-CN"/>
        </w:rPr>
        <w:t>，</w:t>
      </w:r>
      <w:r>
        <w:rPr>
          <w:rFonts w:hint="eastAsia" w:eastAsia="方正仿宋_GBK" w:cs="方正仿宋_GBK"/>
          <w:color w:val="auto"/>
          <w:highlight w:val="none"/>
          <w:lang w:val="en-US" w:eastAsia="zh-CN"/>
        </w:rPr>
        <w:t>实际完成值为0，完成率100%，偏差率0%</w:t>
      </w:r>
      <w:r>
        <w:rPr>
          <w:rFonts w:ascii="Times New Roman" w:hAnsi="Times New Roman" w:eastAsia="方正仿宋_GBK" w:cs="方正仿宋_GBK"/>
          <w:color w:val="auto"/>
          <w:highlight w:val="none"/>
        </w:rPr>
        <w:t>。</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lang w:val="en-US" w:eastAsia="zh-CN"/>
        </w:rPr>
        <w:t>b</w:t>
      </w:r>
      <w:r>
        <w:rPr>
          <w:rFonts w:hint="eastAsia" w:ascii="方正仿宋_GBK" w:hAnsi="方正仿宋_GBK" w:eastAsia="方正仿宋_GBK" w:cs="方正仿宋_GBK"/>
          <w:color w:val="auto"/>
          <w:sz w:val="32"/>
          <w:szCs w:val="32"/>
          <w:highlight w:val="none"/>
          <w:lang w:val="en-US" w:eastAsia="zh-CN"/>
        </w:rPr>
        <w:t>.</w:t>
      </w:r>
      <w:r>
        <w:rPr>
          <w:rFonts w:hint="eastAsia" w:ascii="方正仿宋_GBK" w:hAnsi="方正仿宋_GBK" w:eastAsia="方正仿宋_GBK" w:cs="方正仿宋_GBK"/>
          <w:color w:val="auto"/>
          <w:sz w:val="32"/>
          <w:szCs w:val="32"/>
          <w:highlight w:val="none"/>
          <w:lang w:eastAsia="zh-CN"/>
        </w:rPr>
        <w:t>财政部随文下达</w:t>
      </w:r>
      <w:r>
        <w:rPr>
          <w:rFonts w:hint="eastAsia" w:ascii="方正仿宋_GBK" w:hAnsi="方正仿宋_GBK" w:eastAsia="方正仿宋_GBK" w:cs="方正仿宋_GBK"/>
          <w:color w:val="auto"/>
          <w:sz w:val="32"/>
          <w:szCs w:val="32"/>
          <w:highlight w:val="none"/>
          <w:lang w:val="en-US" w:eastAsia="zh-CN"/>
        </w:rPr>
        <w:t>申请结算补助资金时多报、虚报参保人数（人）</w:t>
      </w:r>
      <w:r>
        <w:rPr>
          <w:rFonts w:hint="eastAsia" w:ascii="方正仿宋_GBK" w:hAnsi="方正仿宋_GBK" w:eastAsia="方正仿宋_GBK" w:cs="方正仿宋_GBK"/>
          <w:color w:val="auto"/>
          <w:sz w:val="32"/>
          <w:szCs w:val="32"/>
          <w:highlight w:val="none"/>
        </w:rPr>
        <w:t>目标，指标值为</w:t>
      </w:r>
      <w:r>
        <w:rPr>
          <w:rFonts w:hint="eastAsia" w:ascii="Times New Roman" w:hAnsi="Times New Roman"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实际完成值为</w:t>
      </w:r>
      <w:r>
        <w:rPr>
          <w:rFonts w:hint="eastAsia" w:ascii="Times New Roman" w:hAnsi="Times New Roman"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，完成率</w:t>
      </w:r>
      <w:r>
        <w:rPr>
          <w:rFonts w:hint="eastAsia" w:ascii="Times New Roman" w:hAnsi="Times New Roman" w:eastAsia="方正仿宋_GBK" w:cs="方正仿宋_GBK"/>
          <w:color w:val="auto"/>
          <w:sz w:val="32"/>
          <w:szCs w:val="32"/>
          <w:highlight w:val="none"/>
        </w:rPr>
        <w:t>100%</w:t>
      </w:r>
      <w:r>
        <w:rPr>
          <w:rFonts w:hint="eastAsia" w:ascii="方正仿宋_GBK" w:hAnsi="方正仿宋_GBK" w:eastAsia="方正仿宋_GBK" w:cs="方正仿宋_GBK"/>
          <w:color w:val="auto"/>
          <w:sz w:val="32"/>
          <w:szCs w:val="32"/>
          <w:highlight w:val="none"/>
          <w:lang w:eastAsia="zh-CN"/>
        </w:rPr>
        <w:t>，偏差率</w:t>
      </w:r>
      <w:r>
        <w:rPr>
          <w:rFonts w:hint="eastAsia" w:ascii="Times New Roman" w:hAnsi="Times New Roman"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ascii="Times New Roman" w:hAnsi="Times New Roman" w:eastAsia="方正仿宋_GBK" w:cs="方正仿宋_GBK"/>
          <w:color w:val="auto"/>
          <w:highlight w:val="none"/>
        </w:rPr>
      </w:pPr>
      <w:r>
        <w:rPr>
          <w:rFonts w:hint="eastAsia" w:ascii="Times New Roman" w:hAnsi="Times New Roman" w:eastAsia="方正仿宋_GBK" w:cs="方正仿宋_GBK"/>
          <w:color w:val="auto"/>
          <w:highlight w:val="none"/>
        </w:rPr>
        <w:t>c.财政部随文下达参保人政策范围内住院费用报销比例</w:t>
      </w:r>
      <w:r>
        <w:rPr>
          <w:rFonts w:hint="eastAsia" w:eastAsia="方正仿宋_GBK" w:cs="方正仿宋_GBK"/>
          <w:color w:val="auto"/>
          <w:highlight w:val="none"/>
          <w:lang w:val="en-US" w:eastAsia="zh-CN"/>
        </w:rPr>
        <w:t>指标，指标值为70%左右</w:t>
      </w:r>
      <w:r>
        <w:rPr>
          <w:rFonts w:ascii="Times New Roman" w:hAnsi="Times New Roman" w:eastAsia="方正仿宋_GBK" w:cs="方正仿宋_GBK"/>
          <w:color w:val="auto"/>
          <w:highlight w:val="none"/>
        </w:rPr>
        <w:t>。我区参保人政策范围内住院费用报销比例为70.86%，完成率100%，偏差率0%。</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ascii="Times New Roman" w:hAnsi="Times New Roman" w:eastAsia="方正仿宋_GBK" w:cs="方正仿宋_GBK"/>
          <w:color w:val="auto"/>
          <w:highlight w:val="none"/>
        </w:rPr>
      </w:pPr>
      <w:r>
        <w:rPr>
          <w:rFonts w:hint="eastAsia" w:eastAsia="方正仿宋_GBK" w:cs="方正仿宋_GBK"/>
          <w:color w:val="auto"/>
          <w:highlight w:val="none"/>
          <w:lang w:val="en-US" w:eastAsia="zh-CN"/>
        </w:rPr>
        <w:t>d</w:t>
      </w:r>
      <w:r>
        <w:rPr>
          <w:rFonts w:ascii="Times New Roman" w:hAnsi="Times New Roman" w:eastAsia="方正仿宋_GBK" w:cs="方正仿宋_GBK"/>
          <w:color w:val="auto"/>
          <w:highlight w:val="none"/>
        </w:rPr>
        <w:t>.</w:t>
      </w:r>
      <w:r>
        <w:rPr>
          <w:rFonts w:hint="eastAsia" w:ascii="Times New Roman" w:hAnsi="Times New Roman" w:eastAsia="方正仿宋_GBK" w:cs="方正仿宋_GBK"/>
          <w:color w:val="auto"/>
          <w:highlight w:val="none"/>
        </w:rPr>
        <w:t>财政部随文下达基金滚存结余可支配月数</w:t>
      </w:r>
      <w:r>
        <w:rPr>
          <w:rFonts w:hint="eastAsia" w:eastAsia="方正仿宋_GBK" w:cs="方正仿宋_GBK"/>
          <w:color w:val="auto"/>
          <w:highlight w:val="none"/>
          <w:lang w:val="en-US" w:eastAsia="zh-CN"/>
        </w:rPr>
        <w:t>指标</w:t>
      </w:r>
      <w:r>
        <w:rPr>
          <w:rFonts w:hint="eastAsia" w:ascii="Times New Roman" w:hAnsi="Times New Roman" w:eastAsia="方正仿宋_GBK" w:cs="方正仿宋_GBK"/>
          <w:color w:val="auto"/>
          <w:highlight w:val="none"/>
        </w:rPr>
        <w:t>，指标值为</w:t>
      </w:r>
      <w:r>
        <w:rPr>
          <w:rFonts w:hint="eastAsia" w:eastAsia="方正仿宋_GBK" w:cs="方正仿宋_GBK"/>
          <w:color w:val="auto"/>
          <w:highlight w:val="none"/>
          <w:lang w:val="en-US" w:eastAsia="zh-CN"/>
        </w:rPr>
        <w:t>大于等于</w:t>
      </w:r>
      <w:r>
        <w:rPr>
          <w:rFonts w:hint="eastAsia" w:ascii="Times New Roman" w:hAnsi="Times New Roman" w:eastAsia="方正仿宋_GBK" w:cs="方正仿宋_GBK"/>
          <w:color w:val="auto"/>
          <w:highlight w:val="none"/>
        </w:rPr>
        <w:t>6个月</w:t>
      </w:r>
      <w:r>
        <w:rPr>
          <w:rFonts w:ascii="Times New Roman" w:hAnsi="Times New Roman" w:eastAsia="方正仿宋_GBK" w:cs="方正仿宋_GBK"/>
          <w:color w:val="auto"/>
          <w:highlight w:val="none"/>
        </w:rPr>
        <w:t>。截至2025年底，全区基金滚存结余可支配月数为11个月，且各统筹区均不存在当期赤字情况</w:t>
      </w:r>
      <w:r>
        <w:rPr>
          <w:rFonts w:hint="eastAsia" w:eastAsia="方正仿宋_GBK" w:cs="方正仿宋_GBK"/>
          <w:color w:val="auto"/>
          <w:highlight w:val="none"/>
          <w:lang w:eastAsia="zh-CN"/>
        </w:rPr>
        <w:t>，</w:t>
      </w:r>
      <w:r>
        <w:rPr>
          <w:rFonts w:ascii="Times New Roman" w:hAnsi="Times New Roman" w:eastAsia="方正仿宋_GBK" w:cs="方正仿宋_GBK"/>
          <w:color w:val="auto"/>
          <w:highlight w:val="none"/>
        </w:rPr>
        <w:t>完成率100%，偏差率0%。</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hint="default" w:ascii="Times New Roman" w:hAnsi="Times New Roman" w:eastAsia="方正仿宋_GBK" w:cs="方正仿宋_GBK"/>
          <w:color w:val="auto"/>
          <w:highlight w:val="none"/>
        </w:rPr>
      </w:pPr>
      <w:r>
        <w:rPr>
          <w:rFonts w:hint="eastAsia" w:eastAsia="方正仿宋_GBK" w:cs="方正仿宋_GBK"/>
          <w:color w:val="auto"/>
          <w:highlight w:val="none"/>
          <w:lang w:val="en-US" w:eastAsia="zh-CN"/>
        </w:rPr>
        <w:t>e.财政部随文下达</w:t>
      </w:r>
      <w:r>
        <w:rPr>
          <w:rFonts w:ascii="Times New Roman" w:hAnsi="Times New Roman" w:eastAsia="方正仿宋_GBK" w:cs="方正仿宋_GBK"/>
          <w:color w:val="auto"/>
          <w:highlight w:val="none"/>
        </w:rPr>
        <w:t>开展门诊统筹</w:t>
      </w:r>
      <w:r>
        <w:rPr>
          <w:rFonts w:hint="eastAsia" w:eastAsia="方正仿宋_GBK" w:cs="方正仿宋_GBK"/>
          <w:color w:val="auto"/>
          <w:highlight w:val="none"/>
          <w:lang w:val="en-US" w:eastAsia="zh-CN"/>
        </w:rPr>
        <w:t>指标</w:t>
      </w:r>
      <w:r>
        <w:rPr>
          <w:rFonts w:ascii="Times New Roman" w:hAnsi="Times New Roman" w:eastAsia="方正仿宋_GBK" w:cs="方正仿宋_GBK"/>
          <w:color w:val="auto"/>
          <w:highlight w:val="none"/>
        </w:rPr>
        <w:t>，指标值为普遍开展。截至2025年底，各统筹</w:t>
      </w:r>
      <w:r>
        <w:rPr>
          <w:rFonts w:hint="eastAsia" w:eastAsia="方正仿宋_GBK" w:cs="方正仿宋_GBK"/>
          <w:color w:val="auto"/>
          <w:highlight w:val="none"/>
          <w:lang w:eastAsia="zh-CN"/>
        </w:rPr>
        <w:t>地区均</w:t>
      </w:r>
      <w:r>
        <w:rPr>
          <w:rFonts w:ascii="Times New Roman" w:hAnsi="Times New Roman" w:eastAsia="方正仿宋_GBK" w:cs="方正仿宋_GBK"/>
          <w:color w:val="auto"/>
          <w:highlight w:val="none"/>
        </w:rPr>
        <w:t>已全面实施门诊统筹，</w:t>
      </w:r>
      <w:r>
        <w:rPr>
          <w:rFonts w:hint="eastAsia" w:eastAsia="方正仿宋_GBK" w:cs="方正仿宋_GBK"/>
          <w:color w:val="auto"/>
          <w:highlight w:val="none"/>
          <w:lang w:val="en-US" w:eastAsia="zh-CN"/>
        </w:rPr>
        <w:t>实际完成值100%，</w:t>
      </w:r>
      <w:r>
        <w:rPr>
          <w:rFonts w:ascii="Times New Roman" w:hAnsi="Times New Roman" w:eastAsia="方正仿宋_GBK" w:cs="方正仿宋_GBK"/>
          <w:color w:val="auto"/>
          <w:highlight w:val="none"/>
        </w:rPr>
        <w:t>完成率100%，偏差率0%。</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eastAsia="zh-CN"/>
        </w:rPr>
        <w:t>）时效指标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财政部随文下达绩效目标中未包含时效指标。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lang w:val="en-US" w:eastAsia="zh-CN"/>
        </w:rPr>
        <w:t>）成本指标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财政部随文下达绩效目标中未包含成本指标。</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default"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2.效益指标完成情况分析</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lang w:val="en-US" w:eastAsia="zh-CN"/>
        </w:rPr>
        <w:t>）经济效益指标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财政部随文下达绩效目标中未包含经济效益指标。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val="en-US" w:eastAsia="zh-CN"/>
        </w:rPr>
        <w:t>）社会效益指标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eastAsia"/>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财政部随文下达绩效目标中未包含社会效益指标。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eastAsia="zh-CN"/>
        </w:rPr>
        <w:t>）生态效益指标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财政部随文下达绩效目标中未包含生态效益指标。</w:t>
      </w:r>
    </w:p>
    <w:p>
      <w:pPr>
        <w:keepNext w:val="0"/>
        <w:keepLines w:val="0"/>
        <w:pageBreakBefore w:val="0"/>
        <w:kinsoku/>
        <w:wordWrap/>
        <w:overflowPunct/>
        <w:topLinePunct w:val="0"/>
        <w:autoSpaceDE/>
        <w:autoSpaceDN/>
        <w:bidi w:val="0"/>
        <w:adjustRightInd/>
        <w:snapToGrid/>
        <w:spacing w:line="560" w:lineRule="exact"/>
        <w:ind w:firstLine="628" w:firstLineChars="200"/>
        <w:textAlignment w:val="auto"/>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lang w:val="en-US" w:eastAsia="zh-CN"/>
        </w:rPr>
        <w:t>）可持续影响指标</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eastAsia" w:eastAsia="方正仿宋_GBK" w:cs="方正仿宋_GBK"/>
          <w:color w:val="auto"/>
          <w:highlight w:val="none"/>
          <w:lang w:eastAsia="zh-CN"/>
        </w:rPr>
      </w:pPr>
      <w:r>
        <w:rPr>
          <w:rFonts w:hint="eastAsia" w:ascii="方正仿宋_GBK" w:hAnsi="方正仿宋_GBK" w:eastAsia="方正仿宋_GBK" w:cs="方正仿宋_GBK"/>
          <w:color w:val="auto"/>
          <w:sz w:val="32"/>
          <w:szCs w:val="32"/>
          <w:highlight w:val="none"/>
          <w:lang w:val="en-US" w:eastAsia="zh-CN"/>
        </w:rPr>
        <w:t>财政部随文下达绩效目标中未包含可持续影响指标。</w:t>
      </w:r>
    </w:p>
    <w:p>
      <w:pPr>
        <w:keepNext w:val="0"/>
        <w:keepLines w:val="0"/>
        <w:pageBreakBefore w:val="0"/>
        <w:widowControl/>
        <w:kinsoku/>
        <w:overflowPunct/>
        <w:topLinePunct w:val="0"/>
        <w:autoSpaceDE w:val="0"/>
        <w:autoSpaceDN w:val="0"/>
        <w:bidi w:val="0"/>
        <w:adjustRightInd w:val="0"/>
        <w:snapToGrid w:val="0"/>
        <w:spacing w:line="560" w:lineRule="exact"/>
        <w:ind w:firstLine="652" w:firstLineChars="200"/>
        <w:textAlignment w:val="baseline"/>
        <w:outlineLvl w:val="2"/>
        <w:rPr>
          <w:rFonts w:hint="default" w:ascii="Times New Roman" w:hAnsi="Times New Roman" w:eastAsia="仿宋_GB2312" w:cs="Times New Roman Regular"/>
          <w:b/>
          <w:bCs/>
          <w:snapToGrid w:val="0"/>
          <w:color w:val="auto"/>
          <w:spacing w:val="0"/>
          <w:kern w:val="0"/>
          <w:sz w:val="32"/>
          <w:szCs w:val="32"/>
          <w:highlight w:val="none"/>
          <w:lang w:val="en-US" w:eastAsia="zh-CN"/>
        </w:rPr>
      </w:pPr>
      <w:r>
        <w:rPr>
          <w:rFonts w:hint="eastAsia" w:ascii="Times New Roman" w:hAnsi="Times New Roman" w:eastAsia="仿宋_GB2312" w:cs="Times New Roman Regular"/>
          <w:b/>
          <w:bCs/>
          <w:snapToGrid w:val="0"/>
          <w:color w:val="auto"/>
          <w:spacing w:val="0"/>
          <w:kern w:val="0"/>
          <w:sz w:val="32"/>
          <w:szCs w:val="32"/>
          <w:highlight w:val="none"/>
          <w:lang w:val="en-US" w:eastAsia="zh-CN"/>
        </w:rPr>
        <w:t>3.满意度指标完成情况分析</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default" w:ascii="Times New Roman" w:hAnsi="Times New Roman" w:eastAsia="方正仿宋_GBK" w:cs="方正仿宋_GBK"/>
          <w:color w:val="auto"/>
          <w:highlight w:val="none"/>
        </w:rPr>
      </w:pPr>
      <w:r>
        <w:rPr>
          <w:rFonts w:hint="eastAsia" w:eastAsia="方正仿宋_GBK" w:cs="方正仿宋_GBK"/>
          <w:color w:val="auto"/>
          <w:highlight w:val="none"/>
          <w:lang w:val="en-US" w:eastAsia="zh-CN"/>
        </w:rPr>
        <w:t>a.财政部随文下达</w:t>
      </w:r>
      <w:r>
        <w:rPr>
          <w:rFonts w:ascii="Times New Roman" w:hAnsi="Times New Roman" w:eastAsia="方正仿宋_GBK" w:cs="方正仿宋_GBK"/>
          <w:color w:val="auto"/>
          <w:highlight w:val="none"/>
        </w:rPr>
        <w:t>参保群众政策知晓率</w:t>
      </w:r>
      <w:r>
        <w:rPr>
          <w:rFonts w:hint="eastAsia" w:eastAsia="方正仿宋_GBK" w:cs="方正仿宋_GBK"/>
          <w:color w:val="auto"/>
          <w:highlight w:val="none"/>
          <w:lang w:val="en-US" w:eastAsia="zh-CN"/>
        </w:rPr>
        <w:t>指标</w:t>
      </w:r>
      <w:r>
        <w:rPr>
          <w:rFonts w:ascii="Times New Roman" w:hAnsi="Times New Roman" w:eastAsia="方正仿宋_GBK" w:cs="方正仿宋_GBK"/>
          <w:color w:val="auto"/>
          <w:highlight w:val="none"/>
        </w:rPr>
        <w:t>，指标值为普遍知晓</w:t>
      </w:r>
      <w:r>
        <w:rPr>
          <w:rFonts w:hint="eastAsia" w:eastAsia="方正仿宋_GBK" w:cs="方正仿宋_GBK"/>
          <w:color w:val="auto"/>
          <w:highlight w:val="none"/>
          <w:lang w:eastAsia="zh-CN"/>
        </w:rPr>
        <w:t>，</w:t>
      </w:r>
      <w:r>
        <w:rPr>
          <w:rFonts w:hint="eastAsia" w:eastAsia="方正仿宋_GBK" w:cs="方正仿宋_GBK"/>
          <w:color w:val="auto"/>
          <w:highlight w:val="none"/>
          <w:lang w:val="en-US" w:eastAsia="zh-CN"/>
        </w:rPr>
        <w:t>实际完成值100%，</w:t>
      </w:r>
      <w:r>
        <w:rPr>
          <w:rFonts w:hint="eastAsia" w:ascii="Times New Roman" w:hAnsi="Times New Roman" w:eastAsia="方正仿宋_GBK" w:cs="方正仿宋_GBK"/>
          <w:color w:val="auto"/>
          <w:highlight w:val="none"/>
        </w:rPr>
        <w:t>指标完成率100%，偏差率0%。</w:t>
      </w:r>
      <w:r>
        <w:rPr>
          <w:rFonts w:ascii="Times New Roman" w:hAnsi="Times New Roman" w:eastAsia="方正仿宋_GBK" w:cs="方正仿宋_GBK"/>
          <w:color w:val="auto"/>
          <w:highlight w:val="none"/>
        </w:rPr>
        <w:t>2025年我区通过开展“健康新疆”活动、印发“新疆医保问答手册”、持续推广“</w:t>
      </w:r>
      <w:r>
        <w:rPr>
          <w:rFonts w:hint="eastAsia" w:eastAsia="方正仿宋_GBK" w:cs="方正仿宋_GBK"/>
          <w:color w:val="auto"/>
          <w:highlight w:val="none"/>
          <w:lang w:eastAsia="zh-CN"/>
        </w:rPr>
        <w:t>新疆维吾尔自治区医疗保障局</w:t>
      </w:r>
      <w:r>
        <w:rPr>
          <w:rFonts w:ascii="Times New Roman" w:hAnsi="Times New Roman" w:eastAsia="方正仿宋_GBK" w:cs="方正仿宋_GBK"/>
          <w:color w:val="auto"/>
          <w:highlight w:val="none"/>
        </w:rPr>
        <w:t>抖音账号”“全民参保情景短剧”等，提高了群众对医保政策的认识，鼓励群众合理使用医疗资源，规范使用医保基金，让群众更加明确医保的覆盖范围、报销流程和权益保障，进一步提升群众对医保政策的知晓率，有效推动医保政策服务群众、走近群众，营造诚信医保良好氛围，提高群众共同维护医保基金安全意识。</w:t>
      </w:r>
    </w:p>
    <w:p>
      <w:pPr>
        <w:keepNext w:val="0"/>
        <w:keepLines w:val="0"/>
        <w:pageBreakBefore w:val="0"/>
        <w:widowControl w:val="0"/>
        <w:kinsoku/>
        <w:wordWrap/>
        <w:overflowPunct/>
        <w:topLinePunct w:val="0"/>
        <w:autoSpaceDE/>
        <w:autoSpaceDN/>
        <w:bidi w:val="0"/>
        <w:spacing w:line="560" w:lineRule="exact"/>
        <w:ind w:firstLine="628" w:firstLineChars="200"/>
        <w:textAlignment w:val="auto"/>
        <w:rPr>
          <w:rFonts w:hint="default"/>
          <w:color w:val="auto"/>
          <w:highlight w:val="none"/>
        </w:rPr>
      </w:pPr>
      <w:r>
        <w:rPr>
          <w:rFonts w:hint="eastAsia" w:eastAsia="方正仿宋_GBK" w:cs="方正仿宋_GBK"/>
          <w:color w:val="auto"/>
          <w:highlight w:val="none"/>
          <w:lang w:val="en-US" w:eastAsia="zh-CN"/>
        </w:rPr>
        <w:t>b.</w:t>
      </w:r>
      <w:r>
        <w:rPr>
          <w:rFonts w:hint="eastAsia" w:ascii="Times New Roman" w:hAnsi="Times New Roman" w:eastAsia="方正仿宋_GBK" w:cs="方正仿宋_GBK"/>
          <w:color w:val="auto"/>
          <w:highlight w:val="none"/>
        </w:rPr>
        <w:t>财政部随文下达</w:t>
      </w:r>
      <w:r>
        <w:rPr>
          <w:rFonts w:ascii="Times New Roman" w:hAnsi="Times New Roman" w:eastAsia="方正仿宋_GBK" w:cs="方正仿宋_GBK"/>
          <w:color w:val="auto"/>
          <w:highlight w:val="none"/>
        </w:rPr>
        <w:t>参保对象满意度</w:t>
      </w:r>
      <w:r>
        <w:rPr>
          <w:rFonts w:hint="eastAsia" w:eastAsia="方正仿宋_GBK" w:cs="方正仿宋_GBK"/>
          <w:color w:val="auto"/>
          <w:highlight w:val="none"/>
          <w:lang w:val="en-US" w:eastAsia="zh-CN"/>
        </w:rPr>
        <w:t>指标</w:t>
      </w:r>
      <w:r>
        <w:rPr>
          <w:rFonts w:ascii="Times New Roman" w:hAnsi="Times New Roman" w:eastAsia="方正仿宋_GBK" w:cs="方正仿宋_GBK"/>
          <w:color w:val="auto"/>
          <w:highlight w:val="none"/>
        </w:rPr>
        <w:t>，指标值为</w:t>
      </w:r>
      <w:r>
        <w:rPr>
          <w:rFonts w:hint="eastAsia" w:eastAsia="方正仿宋_GBK" w:cs="方正仿宋_GBK"/>
          <w:color w:val="auto"/>
          <w:highlight w:val="none"/>
          <w:lang w:val="en-US" w:eastAsia="zh-CN"/>
        </w:rPr>
        <w:t>大于等于</w:t>
      </w:r>
      <w:r>
        <w:rPr>
          <w:rFonts w:ascii="Times New Roman" w:hAnsi="Times New Roman" w:eastAsia="方正仿宋_GBK" w:cs="方正仿宋_GBK"/>
          <w:color w:val="auto"/>
          <w:highlight w:val="none"/>
        </w:rPr>
        <w:t>90%”</w:t>
      </w:r>
      <w:r>
        <w:rPr>
          <w:rFonts w:hint="eastAsia" w:eastAsia="方正仿宋_GBK" w:cs="方正仿宋_GBK"/>
          <w:color w:val="auto"/>
          <w:highlight w:val="none"/>
          <w:lang w:eastAsia="zh-CN"/>
        </w:rPr>
        <w:t>，</w:t>
      </w:r>
      <w:r>
        <w:rPr>
          <w:rFonts w:ascii="Times New Roman" w:hAnsi="Times New Roman" w:eastAsia="方正仿宋_GBK" w:cs="方正仿宋_GBK"/>
          <w:color w:val="auto"/>
          <w:highlight w:val="none"/>
        </w:rPr>
        <w:t>我区参保对象满意度实际完成99.99%，完成率</w:t>
      </w:r>
      <w:r>
        <w:rPr>
          <w:rFonts w:hint="eastAsia" w:eastAsia="方正仿宋_GBK" w:cs="方正仿宋_GBK"/>
          <w:color w:val="auto"/>
          <w:highlight w:val="none"/>
          <w:lang w:val="en-US" w:eastAsia="zh-CN"/>
        </w:rPr>
        <w:t>111.1</w:t>
      </w:r>
      <w:r>
        <w:rPr>
          <w:rFonts w:ascii="Times New Roman" w:hAnsi="Times New Roman" w:eastAsia="方正仿宋_GBK" w:cs="方正仿宋_GBK"/>
          <w:color w:val="auto"/>
          <w:highlight w:val="none"/>
        </w:rPr>
        <w:t>%，偏差率</w:t>
      </w:r>
      <w:r>
        <w:rPr>
          <w:rFonts w:hint="eastAsia" w:eastAsia="方正仿宋_GBK" w:cs="方正仿宋_GBK"/>
          <w:color w:val="auto"/>
          <w:highlight w:val="none"/>
          <w:lang w:val="en-US" w:eastAsia="zh-CN"/>
        </w:rPr>
        <w:t>11.1</w:t>
      </w:r>
      <w:r>
        <w:rPr>
          <w:rFonts w:ascii="Times New Roman" w:hAnsi="Times New Roman" w:eastAsia="方正仿宋_GBK" w:cs="方正仿宋_GBK"/>
          <w:color w:val="auto"/>
          <w:highlight w:val="none"/>
        </w:rPr>
        <w:t>%。</w:t>
      </w:r>
    </w:p>
    <w:p>
      <w:pPr>
        <w:tabs>
          <w:tab w:val="left" w:pos="720"/>
        </w:tabs>
        <w:overflowPunct/>
        <w:topLinePunct w:val="0"/>
        <w:autoSpaceDN/>
        <w:adjustRightInd w:val="0"/>
        <w:snapToGrid w:val="0"/>
        <w:spacing w:line="596" w:lineRule="exact"/>
        <w:ind w:firstLine="652" w:firstLineChars="200"/>
        <w:outlineLvl w:val="0"/>
        <w:rPr>
          <w:rFonts w:hint="default" w:ascii="Times New Roman" w:hAnsi="Times New Roman" w:eastAsia="黑体" w:cs="Times New Roman Regular"/>
          <w:color w:val="auto"/>
          <w:spacing w:val="0"/>
          <w:sz w:val="32"/>
          <w:szCs w:val="32"/>
          <w:highlight w:val="none"/>
        </w:rPr>
      </w:pPr>
      <w:r>
        <w:rPr>
          <w:rFonts w:hint="default" w:ascii="Times New Roman" w:hAnsi="Times New Roman" w:eastAsia="黑体" w:cs="Times New Roman Regular"/>
          <w:color w:val="auto"/>
          <w:spacing w:val="0"/>
          <w:sz w:val="32"/>
          <w:szCs w:val="32"/>
          <w:highlight w:val="none"/>
        </w:rPr>
        <w:t>三、偏离绩效目标的原因和下一步改进措施</w:t>
      </w:r>
    </w:p>
    <w:p>
      <w:pPr>
        <w:keepNext w:val="0"/>
        <w:keepLines w:val="0"/>
        <w:pageBreakBefore w:val="0"/>
        <w:widowControl w:val="0"/>
        <w:tabs>
          <w:tab w:val="left" w:pos="720"/>
        </w:tabs>
        <w:kinsoku/>
        <w:wordWrap/>
        <w:autoSpaceDE/>
        <w:bidi w:val="0"/>
        <w:adjustRightInd w:val="0"/>
        <w:snapToGrid w:val="0"/>
        <w:spacing w:line="560" w:lineRule="exact"/>
        <w:ind w:firstLine="628" w:firstLineChars="200"/>
        <w:textAlignment w:val="auto"/>
        <w:rPr>
          <w:rFonts w:hint="eastAsia" w:ascii="Times New Roman" w:hAnsi="Times New Roman" w:eastAsia="方正仿宋_GBK" w:cs="方正仿宋_GBK"/>
          <w:color w:val="auto"/>
          <w:highlight w:val="none"/>
          <w:lang w:val="en-US" w:eastAsia="zh-CN"/>
        </w:rPr>
      </w:pPr>
      <w:r>
        <w:rPr>
          <w:rFonts w:hint="eastAsia" w:eastAsia="方正仿宋_GBK" w:cs="方正仿宋_GBK"/>
          <w:color w:val="auto"/>
          <w:highlight w:val="none"/>
          <w:lang w:val="en-US" w:eastAsia="zh-CN"/>
        </w:rPr>
        <w:t>新疆维吾尔自治区2025年中央转移支付城乡居民医保补助资金经过自评，按照财政部设定的绩效目标均已全部完成，未出现</w:t>
      </w:r>
      <w:r>
        <w:rPr>
          <w:rFonts w:hint="eastAsia" w:ascii="Times New Roman" w:hAnsi="Times New Roman" w:eastAsia="方正仿宋_GBK" w:cs="方正仿宋_GBK"/>
          <w:color w:val="auto"/>
          <w:highlight w:val="none"/>
          <w:lang w:val="en-US" w:eastAsia="zh-CN"/>
        </w:rPr>
        <w:t>偏离超过30%的情况。</w:t>
      </w:r>
    </w:p>
    <w:p>
      <w:pPr>
        <w:tabs>
          <w:tab w:val="left" w:pos="720"/>
        </w:tabs>
        <w:overflowPunct/>
        <w:topLinePunct w:val="0"/>
        <w:autoSpaceDN/>
        <w:adjustRightInd w:val="0"/>
        <w:snapToGrid w:val="0"/>
        <w:spacing w:line="596" w:lineRule="exact"/>
        <w:ind w:firstLine="652" w:firstLineChars="200"/>
        <w:outlineLvl w:val="0"/>
        <w:rPr>
          <w:rFonts w:hint="default" w:ascii="Times New Roman" w:hAnsi="Times New Roman" w:eastAsia="黑体" w:cs="Times New Roman Regular"/>
          <w:color w:val="auto"/>
          <w:spacing w:val="0"/>
          <w:sz w:val="32"/>
          <w:szCs w:val="32"/>
          <w:highlight w:val="none"/>
        </w:rPr>
      </w:pPr>
      <w:r>
        <w:rPr>
          <w:rFonts w:hint="default" w:ascii="Times New Roman" w:hAnsi="Times New Roman" w:eastAsia="黑体" w:cs="Times New Roman Regular"/>
          <w:color w:val="auto"/>
          <w:spacing w:val="0"/>
          <w:sz w:val="32"/>
          <w:szCs w:val="32"/>
          <w:highlight w:val="none"/>
        </w:rPr>
        <w:t>四</w:t>
      </w:r>
      <w:r>
        <w:rPr>
          <w:rFonts w:hint="eastAsia" w:ascii="Times New Roman" w:hAnsi="Times New Roman" w:eastAsia="黑体" w:cs="Times New Roman Regular"/>
          <w:color w:val="auto"/>
          <w:spacing w:val="0"/>
          <w:sz w:val="32"/>
          <w:szCs w:val="32"/>
          <w:highlight w:val="none"/>
          <w:lang w:eastAsia="zh-CN"/>
        </w:rPr>
        <w:t>、</w:t>
      </w:r>
      <w:r>
        <w:rPr>
          <w:rFonts w:hint="default" w:ascii="Times New Roman" w:hAnsi="Times New Roman" w:eastAsia="黑体" w:cs="Times New Roman Regular"/>
          <w:color w:val="auto"/>
          <w:spacing w:val="0"/>
          <w:sz w:val="32"/>
          <w:szCs w:val="32"/>
          <w:highlight w:val="none"/>
        </w:rPr>
        <w:t>绩效自评结果拟应用和公开情况</w:t>
      </w:r>
    </w:p>
    <w:p>
      <w:pPr>
        <w:keepNext w:val="0"/>
        <w:keepLines w:val="0"/>
        <w:pageBreakBefore w:val="0"/>
        <w:widowControl w:val="0"/>
        <w:tabs>
          <w:tab w:val="left" w:pos="720"/>
        </w:tabs>
        <w:kinsoku/>
        <w:wordWrap/>
        <w:autoSpaceDE/>
        <w:bidi w:val="0"/>
        <w:adjustRightInd w:val="0"/>
        <w:snapToGrid w:val="0"/>
        <w:spacing w:line="560" w:lineRule="exact"/>
        <w:ind w:firstLine="652" w:firstLineChars="200"/>
        <w:textAlignment w:val="auto"/>
        <w:rPr>
          <w:rFonts w:hint="eastAsia" w:eastAsia="方正仿宋_GBK" w:cs="方正仿宋_GBK"/>
          <w:color w:val="auto"/>
          <w:highlight w:val="none"/>
          <w:lang w:val="en-US" w:eastAsia="zh-CN"/>
        </w:rPr>
      </w:pP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ascii="Times New Roman" w:hAnsi="Times New Roman" w:eastAsia="楷体_GB2312" w:cs="Times New Roman Regular"/>
          <w:b w:val="0"/>
          <w:bCs w:val="0"/>
          <w:snapToGrid w:val="0"/>
          <w:color w:val="auto"/>
          <w:spacing w:val="0"/>
          <w:kern w:val="0"/>
          <w:sz w:val="32"/>
          <w:szCs w:val="32"/>
          <w:highlight w:val="none"/>
          <w:lang w:val="en-US" w:eastAsia="zh-CN"/>
        </w:rPr>
        <w:t>一</w:t>
      </w: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eastAsia="方正仿宋_GBK" w:cs="方正仿宋_GBK"/>
          <w:color w:val="auto"/>
          <w:highlight w:val="none"/>
          <w:lang w:val="en-US" w:eastAsia="zh-CN"/>
        </w:rPr>
        <w:t>按照财政部《项目支出绩效评价管理办法》（财预〔2020〕10号文）规定，单位自评标准是：预算执行10分、产出指标80分、服务对象满意度指标10分。经自评，2025年度新疆维吾尔自治区城乡居民医疗保险补助资金绩效自评得分100分，其中：预算执行10分，产出指标80分，服务对象满意度指标10分。自评结果为“优”。</w:t>
      </w:r>
    </w:p>
    <w:p>
      <w:pPr>
        <w:keepNext w:val="0"/>
        <w:keepLines w:val="0"/>
        <w:pageBreakBefore w:val="0"/>
        <w:widowControl w:val="0"/>
        <w:tabs>
          <w:tab w:val="left" w:pos="720"/>
        </w:tabs>
        <w:kinsoku/>
        <w:wordWrap/>
        <w:autoSpaceDE/>
        <w:bidi w:val="0"/>
        <w:adjustRightInd w:val="0"/>
        <w:snapToGrid w:val="0"/>
        <w:spacing w:line="560" w:lineRule="exact"/>
        <w:ind w:firstLine="652" w:firstLineChars="200"/>
        <w:textAlignment w:val="auto"/>
        <w:rPr>
          <w:rFonts w:hint="eastAsia" w:eastAsia="方正仿宋_GBK" w:cs="方正仿宋_GBK"/>
          <w:color w:val="auto"/>
          <w:highlight w:val="none"/>
          <w:lang w:val="en-US" w:eastAsia="zh-CN"/>
        </w:rPr>
      </w:pP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eastAsia="楷体_GB2312" w:cs="Times New Roman Regular"/>
          <w:b w:val="0"/>
          <w:bCs w:val="0"/>
          <w:snapToGrid w:val="0"/>
          <w:color w:val="auto"/>
          <w:spacing w:val="0"/>
          <w:kern w:val="0"/>
          <w:sz w:val="32"/>
          <w:szCs w:val="32"/>
          <w:highlight w:val="none"/>
          <w:lang w:eastAsia="zh-CN"/>
        </w:rPr>
        <w:t>二</w:t>
      </w: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eastAsia="方正仿宋_GBK" w:cs="方正仿宋_GBK"/>
          <w:color w:val="auto"/>
          <w:highlight w:val="none"/>
          <w:lang w:val="en-US" w:eastAsia="zh-CN"/>
        </w:rPr>
        <w:t>自评发现参保工作中跨部门数据共享、基层医保经办能力、基金精细化监管等方面仍存在短板。今后将持续巩固拓展全民参保成果，推动落实参保激励约束政策，优化参保缴费流程，推动全民参保提质扩面。健全多层次医疗保障体系，完善基本医保三重保障制度梯次减负功能，满足群众多元化医疗保障需求；健全大病保险制度，因地制宜探索符合时代特征、灵活多样的大病保险经办承办模式；落实分类资助困难群众参保和医疗费用救助政策，健全防止因病返贫致贫长效机制。严格落实绩效评价结果与预算安排挂钩机制，将本次自评结果作为下一年度城乡医保补助资金、本级医保工作经费预算编制的核心参考因素。针对绩效评价优秀、资金使用效益高、工作推进成效显著的地（州、市）医保部门，在后续医保补助资金、项目资金分配中予以倾斜支持；对预算执行率偏低、绩效目标完成有差距、资金使用不规范的地区，适度调减相关资金额度，并督促限期整改，倒逼各地强化预算约束，提升资金使用规范性和高效性，实现医保资金“花钱必问效、无效必问责”。</w:t>
      </w:r>
    </w:p>
    <w:p>
      <w:pPr>
        <w:keepNext w:val="0"/>
        <w:keepLines w:val="0"/>
        <w:pageBreakBefore w:val="0"/>
        <w:widowControl w:val="0"/>
        <w:tabs>
          <w:tab w:val="left" w:pos="720"/>
        </w:tabs>
        <w:kinsoku/>
        <w:wordWrap/>
        <w:overflowPunct w:val="0"/>
        <w:topLinePunct/>
        <w:autoSpaceDE/>
        <w:autoSpaceDN w:val="0"/>
        <w:bidi w:val="0"/>
        <w:adjustRightInd w:val="0"/>
        <w:snapToGrid w:val="0"/>
        <w:spacing w:line="560" w:lineRule="exact"/>
        <w:ind w:firstLine="652" w:firstLineChars="200"/>
        <w:textAlignment w:val="auto"/>
        <w:rPr>
          <w:rFonts w:hint="eastAsia" w:eastAsia="方正仿宋_GBK" w:cs="方正仿宋_GBK"/>
          <w:color w:val="auto"/>
          <w:highlight w:val="none"/>
          <w:lang w:val="en-US" w:eastAsia="zh-CN"/>
        </w:rPr>
      </w:pP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eastAsia="楷体_GB2312" w:cs="Times New Roman Regular"/>
          <w:b w:val="0"/>
          <w:bCs w:val="0"/>
          <w:snapToGrid w:val="0"/>
          <w:color w:val="auto"/>
          <w:spacing w:val="0"/>
          <w:kern w:val="0"/>
          <w:sz w:val="32"/>
          <w:szCs w:val="32"/>
          <w:highlight w:val="none"/>
          <w:lang w:eastAsia="zh-CN"/>
        </w:rPr>
        <w:t>三</w:t>
      </w:r>
      <w:r>
        <w:rPr>
          <w:rFonts w:hint="eastAsia" w:ascii="Times New Roman" w:hAnsi="Times New Roman" w:eastAsia="楷体_GB2312" w:cs="Times New Roman Regular"/>
          <w:b w:val="0"/>
          <w:bCs w:val="0"/>
          <w:snapToGrid w:val="0"/>
          <w:color w:val="auto"/>
          <w:spacing w:val="0"/>
          <w:kern w:val="0"/>
          <w:sz w:val="32"/>
          <w:szCs w:val="32"/>
          <w:highlight w:val="none"/>
          <w:lang w:eastAsia="zh-CN"/>
        </w:rPr>
        <w:t>）</w:t>
      </w:r>
      <w:r>
        <w:rPr>
          <w:rFonts w:hint="eastAsia" w:eastAsia="方正仿宋_GBK" w:cs="方正仿宋_GBK"/>
          <w:color w:val="auto"/>
          <w:highlight w:val="none"/>
          <w:lang w:val="en-US" w:eastAsia="zh-CN"/>
        </w:rPr>
        <w:t>评价结果将在自治区医疗保障局、自治区财政厅门户网站进行公示公开，接受社会各界监督。</w:t>
      </w:r>
    </w:p>
    <w:p>
      <w:pPr>
        <w:tabs>
          <w:tab w:val="left" w:pos="720"/>
        </w:tabs>
        <w:overflowPunct/>
        <w:topLinePunct w:val="0"/>
        <w:autoSpaceDN/>
        <w:adjustRightInd w:val="0"/>
        <w:snapToGrid w:val="0"/>
        <w:spacing w:line="596" w:lineRule="exact"/>
        <w:ind w:firstLine="652" w:firstLineChars="200"/>
        <w:outlineLvl w:val="0"/>
        <w:rPr>
          <w:rFonts w:hint="default" w:ascii="Times New Roman" w:hAnsi="Times New Roman" w:eastAsia="黑体" w:cs="Times New Roman Regular"/>
          <w:color w:val="auto"/>
          <w:spacing w:val="0"/>
          <w:sz w:val="32"/>
          <w:szCs w:val="32"/>
          <w:highlight w:val="none"/>
        </w:rPr>
      </w:pPr>
      <w:r>
        <w:rPr>
          <w:rFonts w:hint="default" w:ascii="Times New Roman" w:hAnsi="Times New Roman" w:eastAsia="黑体" w:cs="Times New Roman Regular"/>
          <w:color w:val="auto"/>
          <w:spacing w:val="0"/>
          <w:sz w:val="32"/>
          <w:szCs w:val="32"/>
          <w:highlight w:val="none"/>
        </w:rPr>
        <w:t>五、其他需要说明的问题</w:t>
      </w:r>
    </w:p>
    <w:p>
      <w:pPr>
        <w:keepNext w:val="0"/>
        <w:keepLines w:val="0"/>
        <w:pageBreakBefore w:val="0"/>
        <w:widowControl w:val="0"/>
        <w:tabs>
          <w:tab w:val="left" w:pos="720"/>
        </w:tabs>
        <w:kinsoku/>
        <w:wordWrap/>
        <w:overflowPunct w:val="0"/>
        <w:topLinePunct/>
        <w:autoSpaceDE/>
        <w:autoSpaceDN w:val="0"/>
        <w:bidi w:val="0"/>
        <w:adjustRightInd w:val="0"/>
        <w:snapToGrid w:val="0"/>
        <w:spacing w:line="560" w:lineRule="exact"/>
        <w:ind w:firstLine="628" w:firstLineChars="200"/>
        <w:textAlignment w:val="auto"/>
        <w:rPr>
          <w:rFonts w:hint="eastAsia" w:ascii="Times New Roman" w:hAnsi="Times New Roman" w:eastAsia="方正仿宋_GBK" w:cs="方正仿宋_GBK"/>
          <w:color w:val="auto"/>
          <w:highlight w:val="none"/>
          <w:lang w:val="en-US" w:eastAsia="en-US"/>
        </w:rPr>
      </w:pPr>
      <w:r>
        <w:rPr>
          <w:rFonts w:hint="eastAsia" w:eastAsia="方正仿宋_GBK" w:cs="方正仿宋_GBK"/>
          <w:color w:val="auto"/>
          <w:highlight w:val="none"/>
          <w:lang w:val="en-US" w:eastAsia="zh-CN"/>
        </w:rPr>
        <w:t>中央及自治区</w:t>
      </w:r>
      <w:r>
        <w:rPr>
          <w:rFonts w:hint="eastAsia" w:ascii="Times New Roman" w:hAnsi="Times New Roman" w:eastAsia="方正仿宋_GBK" w:cs="方正仿宋_GBK"/>
          <w:color w:val="auto"/>
          <w:highlight w:val="none"/>
          <w:lang w:val="en-US" w:eastAsia="en-US"/>
        </w:rPr>
        <w:t>巡视、</w:t>
      </w:r>
      <w:r>
        <w:rPr>
          <w:rFonts w:hint="eastAsia" w:eastAsia="方正仿宋_GBK" w:cs="方正仿宋_GBK"/>
          <w:color w:val="auto"/>
          <w:highlight w:val="none"/>
          <w:lang w:val="en-US" w:eastAsia="zh-CN"/>
        </w:rPr>
        <w:t>各级</w:t>
      </w:r>
      <w:r>
        <w:rPr>
          <w:rFonts w:hint="eastAsia" w:ascii="Times New Roman" w:hAnsi="Times New Roman" w:eastAsia="方正仿宋_GBK" w:cs="方正仿宋_GBK"/>
          <w:color w:val="auto"/>
          <w:highlight w:val="none"/>
          <w:lang w:val="en-US" w:eastAsia="en-US"/>
        </w:rPr>
        <w:t>审计和财</w:t>
      </w:r>
      <w:r>
        <w:rPr>
          <w:rFonts w:hint="eastAsia" w:eastAsia="方正仿宋_GBK" w:cs="方正仿宋_GBK"/>
          <w:color w:val="auto"/>
          <w:highlight w:val="none"/>
          <w:lang w:val="en-US" w:eastAsia="zh-CN"/>
        </w:rPr>
        <w:t>政</w:t>
      </w:r>
      <w:r>
        <w:rPr>
          <w:rFonts w:hint="eastAsia" w:ascii="Times New Roman" w:hAnsi="Times New Roman" w:eastAsia="方正仿宋_GBK" w:cs="方正仿宋_GBK"/>
          <w:color w:val="auto"/>
          <w:highlight w:val="none"/>
          <w:lang w:val="en-US" w:eastAsia="en-US"/>
        </w:rPr>
        <w:t>监督中</w:t>
      </w:r>
      <w:r>
        <w:rPr>
          <w:rFonts w:hint="eastAsia" w:eastAsia="方正仿宋_GBK" w:cs="方正仿宋_GBK"/>
          <w:color w:val="auto"/>
          <w:highlight w:val="none"/>
          <w:lang w:val="en-US" w:eastAsia="zh-CN"/>
        </w:rPr>
        <w:t>未</w:t>
      </w:r>
      <w:r>
        <w:rPr>
          <w:rFonts w:hint="eastAsia" w:ascii="Times New Roman" w:hAnsi="Times New Roman" w:eastAsia="方正仿宋_GBK" w:cs="方正仿宋_GBK"/>
          <w:color w:val="auto"/>
          <w:highlight w:val="none"/>
          <w:lang w:val="en-US" w:eastAsia="en-US"/>
        </w:rPr>
        <w:t>发现问题。</w:t>
      </w:r>
    </w:p>
    <w:p>
      <w:pPr>
        <w:tabs>
          <w:tab w:val="left" w:pos="720"/>
        </w:tabs>
        <w:overflowPunct/>
        <w:topLinePunct w:val="0"/>
        <w:autoSpaceDN/>
        <w:adjustRightInd w:val="0"/>
        <w:snapToGrid w:val="0"/>
        <w:spacing w:line="596" w:lineRule="exact"/>
        <w:ind w:firstLine="652" w:firstLineChars="200"/>
        <w:outlineLvl w:val="0"/>
        <w:rPr>
          <w:rFonts w:hint="default" w:ascii="Times New Roman" w:hAnsi="Times New Roman" w:eastAsia="黑体" w:cs="Times New Roman Regular"/>
          <w:color w:val="auto"/>
          <w:spacing w:val="0"/>
          <w:sz w:val="32"/>
          <w:szCs w:val="32"/>
          <w:highlight w:val="none"/>
        </w:rPr>
      </w:pPr>
      <w:r>
        <w:rPr>
          <w:rFonts w:hint="default" w:ascii="Times New Roman" w:hAnsi="Times New Roman" w:eastAsia="黑体" w:cs="Times New Roman Regular"/>
          <w:color w:val="auto"/>
          <w:spacing w:val="0"/>
          <w:sz w:val="32"/>
          <w:szCs w:val="32"/>
          <w:highlight w:val="none"/>
        </w:rPr>
        <w:t>六</w:t>
      </w:r>
      <w:r>
        <w:rPr>
          <w:rFonts w:hint="eastAsia" w:ascii="Times New Roman" w:hAnsi="Times New Roman" w:eastAsia="黑体" w:cs="Times New Roman Regular"/>
          <w:color w:val="auto"/>
          <w:spacing w:val="0"/>
          <w:sz w:val="32"/>
          <w:szCs w:val="32"/>
          <w:highlight w:val="none"/>
          <w:lang w:eastAsia="zh-CN"/>
        </w:rPr>
        <w:t>、</w:t>
      </w:r>
      <w:r>
        <w:rPr>
          <w:rFonts w:hint="default" w:ascii="Times New Roman" w:hAnsi="Times New Roman" w:eastAsia="黑体" w:cs="Times New Roman Regular"/>
          <w:color w:val="auto"/>
          <w:spacing w:val="0"/>
          <w:sz w:val="32"/>
          <w:szCs w:val="32"/>
          <w:highlight w:val="none"/>
        </w:rPr>
        <w:t>附件</w:t>
      </w:r>
    </w:p>
    <w:p>
      <w:pPr>
        <w:pStyle w:val="2"/>
        <w:rPr>
          <w:rFonts w:hint="default" w:ascii="Times New Roman" w:hAnsi="Times New Roman" w:eastAsia="方正仿宋_GBK" w:cs="方正仿宋_GBK"/>
          <w:color w:val="auto"/>
          <w:spacing w:val="-6"/>
          <w:kern w:val="2"/>
          <w:sz w:val="32"/>
          <w:szCs w:val="32"/>
          <w:highlight w:val="none"/>
          <w:lang w:val="en-US" w:eastAsia="zh-CN" w:bidi="ar-SA"/>
        </w:rPr>
      </w:pPr>
      <w:r>
        <w:rPr>
          <w:rFonts w:hint="default" w:ascii="Times New Roman" w:hAnsi="Times New Roman" w:eastAsia="方正仿宋_GBK" w:cs="方正仿宋_GBK"/>
          <w:color w:val="auto"/>
          <w:spacing w:val="-6"/>
          <w:kern w:val="2"/>
          <w:sz w:val="32"/>
          <w:szCs w:val="32"/>
          <w:highlight w:val="none"/>
          <w:lang w:val="en-US" w:eastAsia="zh-CN" w:bidi="ar-SA"/>
        </w:rPr>
        <w:t>新疆维吾尔自治区</w:t>
      </w:r>
      <w:r>
        <w:rPr>
          <w:rFonts w:hint="eastAsia" w:ascii="Times New Roman" w:hAnsi="Times New Roman" w:eastAsia="方正仿宋_GBK" w:cs="方正仿宋_GBK"/>
          <w:color w:val="auto"/>
          <w:spacing w:val="-6"/>
          <w:kern w:val="2"/>
          <w:sz w:val="32"/>
          <w:szCs w:val="32"/>
          <w:highlight w:val="none"/>
          <w:lang w:val="en-US" w:eastAsia="zh-CN" w:bidi="ar-SA"/>
        </w:rPr>
        <w:t>2025年度</w:t>
      </w:r>
      <w:r>
        <w:rPr>
          <w:rFonts w:hint="default" w:ascii="Times New Roman" w:hAnsi="Times New Roman" w:eastAsia="方正仿宋_GBK" w:cs="方正仿宋_GBK"/>
          <w:color w:val="auto"/>
          <w:spacing w:val="-6"/>
          <w:kern w:val="2"/>
          <w:sz w:val="32"/>
          <w:szCs w:val="32"/>
          <w:highlight w:val="none"/>
          <w:lang w:val="en-US" w:eastAsia="zh-CN" w:bidi="ar-SA"/>
        </w:rPr>
        <w:t>城乡居民基本医疗保险补助绩效自评表</w:t>
      </w:r>
    </w:p>
    <w:p>
      <w:pPr>
        <w:pStyle w:val="2"/>
        <w:rPr>
          <w:rFonts w:hint="default" w:ascii="Times New Roman" w:hAnsi="Times New Roman" w:eastAsia="黑体" w:cs="Times New Roman Regular"/>
          <w:color w:val="auto"/>
          <w:spacing w:val="0"/>
          <w:sz w:val="32"/>
          <w:szCs w:val="32"/>
          <w:highlight w:val="none"/>
        </w:rPr>
      </w:pPr>
    </w:p>
    <w:p>
      <w:pPr>
        <w:pStyle w:val="2"/>
        <w:rPr>
          <w:rFonts w:hint="default" w:ascii="Times New Roman" w:hAnsi="Times New Roman" w:eastAsia="黑体" w:cs="Times New Roman Regular"/>
          <w:color w:val="auto"/>
          <w:spacing w:val="0"/>
          <w:sz w:val="32"/>
          <w:szCs w:val="32"/>
          <w:highlight w:val="none"/>
        </w:rPr>
      </w:pPr>
    </w:p>
    <w:p>
      <w:pPr>
        <w:pStyle w:val="2"/>
        <w:rPr>
          <w:rFonts w:hint="default" w:ascii="Times New Roman" w:hAnsi="Times New Roman" w:eastAsia="黑体" w:cs="Times New Roman Regular"/>
          <w:color w:val="auto"/>
          <w:spacing w:val="0"/>
          <w:sz w:val="32"/>
          <w:szCs w:val="32"/>
          <w:highlight w:val="none"/>
        </w:rPr>
      </w:pPr>
    </w:p>
    <w:p>
      <w:pPr>
        <w:pStyle w:val="2"/>
        <w:rPr>
          <w:rFonts w:hint="default" w:ascii="Times New Roman" w:hAnsi="Times New Roman" w:eastAsia="黑体" w:cs="Times New Roman Regular"/>
          <w:color w:val="auto"/>
          <w:spacing w:val="0"/>
          <w:sz w:val="32"/>
          <w:szCs w:val="32"/>
          <w:highlight w:val="none"/>
        </w:rPr>
      </w:pPr>
    </w:p>
    <w:tbl>
      <w:tblPr>
        <w:tblStyle w:val="11"/>
        <w:tblpPr w:leftFromText="180" w:rightFromText="180" w:vertAnchor="text" w:horzAnchor="page" w:tblpX="1592" w:tblpY="13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2"/>
        <w:gridCol w:w="582"/>
        <w:gridCol w:w="797"/>
        <w:gridCol w:w="970"/>
        <w:gridCol w:w="1174"/>
        <w:gridCol w:w="2291"/>
        <w:gridCol w:w="1205"/>
        <w:gridCol w:w="1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8"/>
            <w:tcBorders>
              <w:top w:val="nil"/>
              <w:left w:val="nil"/>
              <w:bottom w:val="nil"/>
              <w:right w:val="nil"/>
            </w:tcBorders>
            <w:shd w:val="clear" w:color="auto" w:fill="auto"/>
            <w:vAlign w:val="top"/>
          </w:tcPr>
          <w:p>
            <w:pPr>
              <w:keepNext w:val="0"/>
              <w:keepLines w:val="0"/>
              <w:pageBreakBefore w:val="0"/>
              <w:widowControl/>
              <w:suppressLineNumbers w:val="0"/>
              <w:kinsoku/>
              <w:wordWrap/>
              <w:overflowPunct w:val="0"/>
              <w:topLinePunct/>
              <w:autoSpaceDE/>
              <w:autoSpaceDN w:val="0"/>
              <w:bidi w:val="0"/>
              <w:adjustRightInd/>
              <w:snapToGrid/>
              <w:spacing w:line="360" w:lineRule="exact"/>
              <w:jc w:val="both"/>
              <w:textAlignment w:val="bottom"/>
              <w:rPr>
                <w:rFonts w:hint="default" w:ascii="Times New Roman" w:hAnsi="Times New Roman" w:eastAsia="仿宋_GB2312" w:cs="Times New Roman"/>
                <w:b/>
                <w:bCs/>
                <w:i w:val="0"/>
                <w:iCs w:val="0"/>
                <w:color w:val="auto"/>
                <w:spacing w:val="-6"/>
                <w:kern w:val="0"/>
                <w:sz w:val="28"/>
                <w:szCs w:val="28"/>
                <w:highlight w:val="none"/>
                <w:u w:val="none"/>
                <w:lang w:val="en-US" w:eastAsia="zh-CN" w:bidi="ar"/>
              </w:rPr>
            </w:pPr>
          </w:p>
          <w:p>
            <w:pPr>
              <w:keepNext w:val="0"/>
              <w:keepLines w:val="0"/>
              <w:pageBreakBefore w:val="0"/>
              <w:widowControl/>
              <w:suppressLineNumbers w:val="0"/>
              <w:kinsoku/>
              <w:wordWrap/>
              <w:overflowPunct w:val="0"/>
              <w:topLinePunct/>
              <w:autoSpaceDE/>
              <w:autoSpaceDN w:val="0"/>
              <w:bidi w:val="0"/>
              <w:adjustRightInd/>
              <w:snapToGrid/>
              <w:spacing w:line="360" w:lineRule="exact"/>
              <w:jc w:val="center"/>
              <w:textAlignment w:val="bottom"/>
              <w:rPr>
                <w:rFonts w:hint="default" w:ascii="Times New Roman" w:hAnsi="Times New Roman" w:eastAsia="仿宋_GB2312" w:cs="Times New Roman"/>
                <w:b/>
                <w:bCs/>
                <w:i w:val="0"/>
                <w:iCs w:val="0"/>
                <w:color w:val="auto"/>
                <w:sz w:val="30"/>
                <w:szCs w:val="30"/>
                <w:highlight w:val="none"/>
                <w:u w:val="none"/>
              </w:rPr>
            </w:pPr>
            <w:r>
              <w:rPr>
                <w:rFonts w:hint="default" w:ascii="Times New Roman" w:hAnsi="Times New Roman" w:eastAsia="仿宋_GB2312" w:cs="Times New Roman"/>
                <w:b/>
                <w:bCs/>
                <w:i w:val="0"/>
                <w:iCs w:val="0"/>
                <w:color w:val="auto"/>
                <w:spacing w:val="-6"/>
                <w:kern w:val="0"/>
                <w:sz w:val="28"/>
                <w:szCs w:val="28"/>
                <w:highlight w:val="none"/>
                <w:u w:val="none"/>
                <w:lang w:val="en-US" w:eastAsia="zh-CN" w:bidi="ar"/>
              </w:rPr>
              <w:t xml:space="preserve"> 新疆维吾尔自治区城乡居民基本医疗保险补助绩效自评表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8" w:hRule="atLeast"/>
        </w:trPr>
        <w:tc>
          <w:tcPr>
            <w:tcW w:w="5000" w:type="pct"/>
            <w:gridSpan w:val="8"/>
            <w:tcBorders>
              <w:top w:val="nil"/>
              <w:left w:val="nil"/>
              <w:bottom w:val="nil"/>
              <w:right w:val="nil"/>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2"/>
                <w:szCs w:val="22"/>
                <w:highlight w:val="none"/>
                <w:u w:val="none"/>
              </w:rPr>
            </w:pPr>
            <w:r>
              <w:rPr>
                <w:rStyle w:val="184"/>
                <w:rFonts w:hint="default" w:ascii="Times New Roman" w:hAnsi="Times New Roman" w:eastAsia="仿宋_GB2312" w:cs="Times New Roman"/>
                <w:color w:val="auto"/>
                <w:spacing w:val="-6"/>
                <w:highlight w:val="none"/>
                <w:lang w:val="en-US" w:eastAsia="zh-CN" w:bidi="ar"/>
              </w:rPr>
              <w:t>(2025</w:t>
            </w:r>
            <w:r>
              <w:rPr>
                <w:rFonts w:hint="default" w:ascii="Times New Roman" w:hAnsi="Times New Roman" w:eastAsia="仿宋_GB2312" w:cs="Times New Roman"/>
                <w:i w:val="0"/>
                <w:iCs w:val="0"/>
                <w:color w:val="auto"/>
                <w:spacing w:val="-6"/>
                <w:kern w:val="0"/>
                <w:sz w:val="22"/>
                <w:szCs w:val="22"/>
                <w:highlight w:val="none"/>
                <w:u w:val="none"/>
                <w:lang w:val="en-US" w:eastAsia="zh-CN" w:bidi="ar"/>
              </w:rPr>
              <w:t>年度</w:t>
            </w:r>
            <w:r>
              <w:rPr>
                <w:rStyle w:val="184"/>
                <w:rFonts w:hint="default" w:ascii="Times New Roman" w:hAnsi="Times New Roman" w:eastAsia="仿宋_GB2312" w:cs="Times New Roman"/>
                <w:color w:val="auto"/>
                <w:spacing w:val="-6"/>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5" w:hRule="atLeast"/>
        </w:trPr>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转移支付</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w:t>
            </w:r>
            <w:r>
              <w:rPr>
                <w:rStyle w:val="185"/>
                <w:rFonts w:hint="default" w:ascii="Times New Roman" w:hAnsi="Times New Roman" w:eastAsia="仿宋_GB2312" w:cs="Times New Roman"/>
                <w:color w:val="auto"/>
                <w:spacing w:val="-6"/>
                <w:highlight w:val="none"/>
                <w:lang w:val="en-US" w:eastAsia="zh-CN" w:bidi="ar"/>
              </w:rPr>
              <w:t>项目</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w:t>
            </w:r>
            <w:r>
              <w:rPr>
                <w:rStyle w:val="185"/>
                <w:rFonts w:hint="default" w:ascii="Times New Roman" w:hAnsi="Times New Roman" w:eastAsia="仿宋_GB2312" w:cs="Times New Roman"/>
                <w:color w:val="auto"/>
                <w:spacing w:val="-6"/>
                <w:highlight w:val="none"/>
                <w:lang w:val="en-US" w:eastAsia="zh-CN" w:bidi="ar"/>
              </w:rPr>
              <w:t>名称</w:t>
            </w:r>
          </w:p>
        </w:tc>
        <w:tc>
          <w:tcPr>
            <w:tcW w:w="39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城乡居民基本医疗保险补助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中央主管部门</w:t>
            </w:r>
          </w:p>
        </w:tc>
        <w:tc>
          <w:tcPr>
            <w:tcW w:w="39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国家医疗保障局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地方主管部门</w:t>
            </w: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新疆维吾尔自治区财政厅</w:t>
            </w:r>
          </w:p>
        </w:tc>
        <w:tc>
          <w:tcPr>
            <w:tcW w:w="27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资金使用单位：新疆维吾尔自治区医疗保障局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8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资金投入情况</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w:t>
            </w:r>
            <w:r>
              <w:rPr>
                <w:rStyle w:val="185"/>
                <w:rFonts w:hint="default" w:ascii="Times New Roman" w:hAnsi="Times New Roman" w:eastAsia="仿宋_GB2312" w:cs="Times New Roman"/>
                <w:color w:val="auto"/>
                <w:spacing w:val="-6"/>
                <w:highlight w:val="none"/>
                <w:lang w:val="en-US" w:eastAsia="zh-CN" w:bidi="ar"/>
              </w:rPr>
              <w:t>万元</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autoSpaceDE/>
              <w:bidi w:val="0"/>
              <w:adjustRightInd/>
              <w:snapToGrid/>
              <w:spacing w:line="260" w:lineRule="exact"/>
              <w:jc w:val="left"/>
              <w:rPr>
                <w:rFonts w:hint="default" w:ascii="Times New Roman" w:hAnsi="Times New Roman" w:eastAsia="仿宋_GB2312" w:cs="Times New Roman"/>
                <w:i w:val="0"/>
                <w:iCs w:val="0"/>
                <w:color w:val="auto"/>
                <w:sz w:val="18"/>
                <w:szCs w:val="18"/>
                <w:highlight w:val="none"/>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全年预算数</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(A)</w:t>
            </w:r>
          </w:p>
        </w:tc>
        <w:tc>
          <w:tcPr>
            <w:tcW w:w="1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全年执行数</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(B)</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预算执行率</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(B/A×100%)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年度资金总额：</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1051924</w:t>
            </w:r>
          </w:p>
        </w:tc>
        <w:tc>
          <w:tcPr>
            <w:tcW w:w="192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1051924</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其中：中央财政资金</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863291</w:t>
            </w:r>
          </w:p>
        </w:tc>
        <w:tc>
          <w:tcPr>
            <w:tcW w:w="192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863291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ind w:firstLineChars="100"/>
              <w:jc w:val="righ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地方财政资金</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188633</w:t>
            </w:r>
          </w:p>
        </w:tc>
        <w:tc>
          <w:tcPr>
            <w:tcW w:w="192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188633</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其他资金</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0</w:t>
            </w:r>
          </w:p>
        </w:tc>
        <w:tc>
          <w:tcPr>
            <w:tcW w:w="1929"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088"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资金管理情况</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autoSpaceDE/>
              <w:bidi w:val="0"/>
              <w:adjustRightInd/>
              <w:snapToGrid/>
              <w:spacing w:line="260" w:lineRule="exact"/>
              <w:jc w:val="left"/>
              <w:rPr>
                <w:rFonts w:hint="default" w:ascii="Times New Roman" w:hAnsi="Times New Roman" w:eastAsia="仿宋_GB2312" w:cs="Times New Roman"/>
                <w:i w:val="0"/>
                <w:iCs w:val="0"/>
                <w:color w:val="auto"/>
                <w:sz w:val="22"/>
                <w:szCs w:val="22"/>
                <w:highlight w:val="none"/>
                <w:u w:val="none"/>
              </w:rPr>
            </w:pP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情况说明</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存在问题和改进措施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分配科学性</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资金分配方案按照《中央财政城乡居民基本医疗保险补助资金管理办法》要求，按照参保人数对中央财政补助资金进行分配，预拨资金按各地参保人数占比分摊至各统筹区，符合财政部和国家医疗保障局下达的文件要求，符合预算管理和城乡居民基本医疗保险补助资金管理要求。</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下达及时性</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2024年12月，《关于提前下达2025年城乡居民基本医疗保险中央财政补助资金预算的通知》（新财社〔2024〕164号）分解下达资金768595万元、《关于提前下达2025年自治区财政城乡居民基本医疗保险补助资金预算的通知》（新财社〔2024〕180号）分解下达资金180000万元；2025年9月，《关于下达2025年中央城乡居民基本医疗保险补助资金预算的通知》（新财社〔2025〕102号）分解下达资金94696万元、《关于下达2025年自治区财政城乡居民基本医疗保险补助资金的通知》（新财社〔2025〕119号）分解下达资金8633万元。我局严格按照预算法及其实施条例、转移支付管理制度规定以及资金管理办法规定的时限要求及时分解下达。</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拨付合规性</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按照《社保法》《中央财政城乡居民基本医疗保险补助资金管理办法》，及时从国库户转入社保基金财政专户，专项用于补助居民参加城乡居民基本医疗保险。</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使用规范性</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严格按照《社保法》规定对城乡居民基本医疗保险参保居民缴费给予补助，未出现截留、挤占、挪用或擅自调整等问题。</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执行准确性</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2025年度城乡居民基本医保补助资金1051924万元，执行数1051924万元，资金执行率100%，能够按进度及时拨付资金到位，切实保障基金运行安全。</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预算绩效管理情况</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一是绩效目标管理逐步规范，按要求设定绩效目标，涵盖产出、效益、满意度等维度，目标指向清晰，与资金政策目标匹配。二是绩效运行监控有序实施。对资金执行进度、绩效目标实现程度开展定期监控，按期跟踪偏差、自评原因并采取有效措施。三是绩效评价与结果应用不断强化，按规定开展绩效自评，评价结果应用于资金分配、政策完善、管理改进等方面。</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088"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支出责任履行情况</w:t>
            </w:r>
          </w:p>
        </w:tc>
        <w:tc>
          <w:tcPr>
            <w:tcW w:w="25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一是严格按照有关规定实施资金管理，实行国库集中支付、专户管理、专账核算，确保资金专款专用、封闭运行，确保基金运行安全。二是补助资金按要求及时到位，保障相关待遇及时足额支付，切实减轻群众就医负担。三是建立健全资金使用、基金运行、内控稽核和监督检查机制，加强基金运行管理和绩效监控，确保补助资金安全、规范、高效使用。支出责任履行到位。</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18"/>
                <w:szCs w:val="18"/>
                <w:highlight w:val="none"/>
                <w:u w:val="none"/>
              </w:rPr>
            </w:pPr>
            <w:r>
              <w:rPr>
                <w:rStyle w:val="186"/>
                <w:rFonts w:hint="default" w:ascii="Times New Roman" w:hAnsi="Times New Roman" w:eastAsia="仿宋_GB2312" w:cs="Times New Roman"/>
                <w:color w:val="auto"/>
                <w:spacing w:val="-6"/>
                <w:highlight w:val="none"/>
                <w:lang w:val="en-US" w:eastAsia="zh-CN" w:bidi="ar"/>
              </w:rPr>
              <w:t>总体</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Style w:val="186"/>
                <w:rFonts w:hint="default" w:ascii="Times New Roman" w:hAnsi="Times New Roman" w:eastAsia="仿宋_GB2312" w:cs="Times New Roman"/>
                <w:color w:val="auto"/>
                <w:spacing w:val="-6"/>
                <w:highlight w:val="none"/>
                <w:lang w:val="en-US" w:eastAsia="zh-CN" w:bidi="ar"/>
              </w:rPr>
              <w:t>目</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 xml:space="preserve"> </w:t>
            </w:r>
            <w:r>
              <w:rPr>
                <w:rStyle w:val="186"/>
                <w:rFonts w:hint="default" w:ascii="Times New Roman" w:hAnsi="Times New Roman" w:eastAsia="仿宋_GB2312" w:cs="Times New Roman"/>
                <w:color w:val="auto"/>
                <w:spacing w:val="-6"/>
                <w:highlight w:val="none"/>
                <w:lang w:val="en-US" w:eastAsia="zh-CN" w:bidi="ar"/>
              </w:rPr>
              <w:t>标</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Style w:val="186"/>
                <w:rFonts w:hint="default" w:ascii="Times New Roman" w:hAnsi="Times New Roman" w:eastAsia="仿宋_GB2312" w:cs="Times New Roman"/>
                <w:color w:val="auto"/>
                <w:spacing w:val="-6"/>
                <w:highlight w:val="none"/>
                <w:lang w:val="en-US" w:eastAsia="zh-CN" w:bidi="ar"/>
              </w:rPr>
              <w:t>完成</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Style w:val="186"/>
                <w:rFonts w:hint="default" w:ascii="Times New Roman" w:hAnsi="Times New Roman" w:eastAsia="仿宋_GB2312" w:cs="Times New Roman"/>
                <w:color w:val="auto"/>
                <w:spacing w:val="-6"/>
                <w:highlight w:val="none"/>
                <w:lang w:val="en-US" w:eastAsia="zh-CN" w:bidi="ar"/>
              </w:rPr>
              <w:t>情况</w:t>
            </w:r>
          </w:p>
        </w:tc>
        <w:tc>
          <w:tcPr>
            <w:tcW w:w="19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总体目标</w:t>
            </w:r>
          </w:p>
        </w:tc>
        <w:tc>
          <w:tcPr>
            <w:tcW w:w="27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18"/>
                <w:szCs w:val="18"/>
                <w:highlight w:val="none"/>
                <w:u w:val="none"/>
              </w:rPr>
            </w:pPr>
            <w:r>
              <w:rPr>
                <w:rStyle w:val="185"/>
                <w:rFonts w:hint="default" w:ascii="Times New Roman" w:hAnsi="Times New Roman" w:eastAsia="仿宋_GB2312" w:cs="Times New Roman"/>
                <w:color w:val="auto"/>
                <w:spacing w:val="-6"/>
                <w:highlight w:val="none"/>
                <w:lang w:val="en-US" w:eastAsia="zh-CN" w:bidi="ar"/>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18"/>
                <w:szCs w:val="18"/>
                <w:highlight w:val="none"/>
                <w:u w:val="none"/>
              </w:rPr>
            </w:pPr>
          </w:p>
        </w:tc>
        <w:tc>
          <w:tcPr>
            <w:tcW w:w="194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autoSpaceDN w:val="0"/>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目标1:巩固参保率。</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目标2:稳定住院待遇，稳步提高门诊待遇。</w:t>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br w:type="textWrapping"/>
            </w: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目标3:实现基金收支平衡。</w:t>
            </w:r>
          </w:p>
        </w:tc>
        <w:tc>
          <w:tcPr>
            <w:tcW w:w="27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val="0"/>
              <w:topLinePunct/>
              <w:autoSpaceDE/>
              <w:autoSpaceDN w:val="0"/>
              <w:bidi w:val="0"/>
              <w:adjustRightInd/>
              <w:snapToGrid/>
              <w:spacing w:line="260" w:lineRule="exact"/>
              <w:jc w:val="left"/>
              <w:textAlignment w:val="center"/>
              <w:rPr>
                <w:rFonts w:hint="default" w:ascii="Times New Roman" w:hAnsi="Times New Roman" w:eastAsia="仿宋_GB2312" w:cs="Times New Roman"/>
                <w:i w:val="0"/>
                <w:iCs w:val="0"/>
                <w:color w:val="auto"/>
                <w:sz w:val="18"/>
                <w:szCs w:val="18"/>
                <w:highlight w:val="none"/>
                <w:u w:val="none"/>
              </w:rPr>
            </w:pPr>
            <w:r>
              <w:rPr>
                <w:rFonts w:hint="default" w:ascii="Times New Roman" w:hAnsi="Times New Roman" w:eastAsia="仿宋_GB2312" w:cs="Times New Roman"/>
                <w:i w:val="0"/>
                <w:iCs w:val="0"/>
                <w:color w:val="auto"/>
                <w:spacing w:val="-6"/>
                <w:kern w:val="0"/>
                <w:sz w:val="18"/>
                <w:szCs w:val="18"/>
                <w:highlight w:val="none"/>
                <w:u w:val="none"/>
                <w:lang w:val="en-US" w:eastAsia="zh-CN" w:bidi="ar"/>
              </w:rPr>
              <w:t>一是持续巩固基本医疗保险参保覆盖面，稳定参保率，确保应保尽保，2025年参保人数完成2103.98万人，完成国家下达的年度基本医保参保人数目标值2093万人。二是稳定住院医疗保障待遇水平，稳步提高门诊统筹保障待遇，参保人政策范围内住院费用报销比例达到70.86%，增强了群众就医获得感。三是强化医保基金收支管理，严格控制基金运行风险，确保实现基金收支平衡，基金滚存结余可支付月数11个月，保障基金安全高效、可持续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绩效指标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Style w:val="187"/>
                <w:rFonts w:hint="default" w:ascii="Times New Roman" w:hAnsi="Times New Roman" w:eastAsia="仿宋_GB2312" w:cs="Times New Roman"/>
                <w:color w:val="auto"/>
                <w:spacing w:val="-6"/>
                <w:highlight w:val="none"/>
                <w:lang w:val="en-US" w:eastAsia="zh-CN" w:bidi="ar"/>
              </w:rPr>
              <w:t>一级</w:t>
            </w:r>
            <w:r>
              <w:rPr>
                <w:rStyle w:val="188"/>
                <w:rFonts w:hint="default" w:ascii="Times New Roman" w:hAnsi="Times New Roman" w:eastAsia="仿宋_GB2312" w:cs="Times New Roman"/>
                <w:color w:val="auto"/>
                <w:spacing w:val="-6"/>
                <w:highlight w:val="none"/>
                <w:lang w:val="en-US" w:eastAsia="zh-CN" w:bidi="ar"/>
              </w:rPr>
              <w:br w:type="textWrapping"/>
            </w:r>
            <w:r>
              <w:rPr>
                <w:rStyle w:val="187"/>
                <w:rFonts w:hint="default" w:ascii="Times New Roman" w:hAnsi="Times New Roman" w:eastAsia="仿宋_GB2312" w:cs="Times New Roman"/>
                <w:color w:val="auto"/>
                <w:spacing w:val="-6"/>
                <w:highlight w:val="none"/>
                <w:lang w:val="en-US" w:eastAsia="zh-CN" w:bidi="ar"/>
              </w:rPr>
              <w:t>指标</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二级指标</w:t>
            </w: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三级指标</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ind w:firstLineChars="100"/>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指标值</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top"/>
              <w:rPr>
                <w:rFonts w:hint="default" w:ascii="Times New Roman" w:hAnsi="Times New Roman" w:eastAsia="仿宋_GB2312" w:cs="Times New Roman"/>
                <w:i w:val="0"/>
                <w:iCs w:val="0"/>
                <w:color w:val="auto"/>
                <w:sz w:val="20"/>
                <w:szCs w:val="20"/>
                <w:highlight w:val="none"/>
                <w:u w:val="none"/>
              </w:rPr>
            </w:pPr>
            <w:r>
              <w:rPr>
                <w:rStyle w:val="189"/>
                <w:rFonts w:hint="default" w:ascii="Times New Roman" w:hAnsi="Times New Roman" w:eastAsia="仿宋_GB2312" w:cs="Times New Roman"/>
                <w:color w:val="auto"/>
                <w:spacing w:val="-6"/>
                <w:highlight w:val="none"/>
                <w:lang w:val="en-US" w:eastAsia="zh-CN" w:bidi="ar"/>
              </w:rPr>
              <w:t>全年实际完</w:t>
            </w:r>
            <w:r>
              <w:rPr>
                <w:rStyle w:val="190"/>
                <w:rFonts w:hint="default" w:ascii="Times New Roman" w:hAnsi="Times New Roman" w:eastAsia="仿宋_GB2312" w:cs="Times New Roman"/>
                <w:color w:val="auto"/>
                <w:spacing w:val="-6"/>
                <w:highlight w:val="none"/>
                <w:lang w:val="en-US" w:eastAsia="zh-CN" w:bidi="ar"/>
              </w:rPr>
              <w:br w:type="textWrapping"/>
            </w:r>
            <w:r>
              <w:rPr>
                <w:rStyle w:val="189"/>
                <w:rFonts w:hint="default" w:ascii="Times New Roman" w:hAnsi="Times New Roman" w:eastAsia="仿宋_GB2312" w:cs="Times New Roman"/>
                <w:color w:val="auto"/>
                <w:spacing w:val="-6"/>
                <w:highlight w:val="none"/>
                <w:lang w:val="en-US" w:eastAsia="zh-CN" w:bidi="ar"/>
              </w:rPr>
              <w:t>成值</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产出指标</w:t>
            </w:r>
          </w:p>
        </w:tc>
        <w:tc>
          <w:tcPr>
            <w:tcW w:w="4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数量指标</w:t>
            </w: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Style w:val="191"/>
                <w:rFonts w:hint="default" w:ascii="Times New Roman" w:hAnsi="Times New Roman" w:eastAsia="仿宋_GB2312" w:cs="Times New Roman"/>
                <w:color w:val="auto"/>
                <w:spacing w:val="-6"/>
                <w:highlight w:val="none"/>
                <w:lang w:val="en-US" w:eastAsia="zh-CN" w:bidi="ar"/>
              </w:rPr>
              <w:t>参保人数</w:t>
            </w:r>
            <w:r>
              <w:rPr>
                <w:rStyle w:val="192"/>
                <w:rFonts w:hint="default" w:ascii="Times New Roman" w:hAnsi="Times New Roman" w:eastAsia="仿宋_GB2312" w:cs="Times New Roman"/>
                <w:color w:val="auto"/>
                <w:spacing w:val="-6"/>
                <w:highlight w:val="none"/>
                <w:lang w:val="en-US" w:eastAsia="zh-CN" w:bidi="ar"/>
              </w:rPr>
              <w:t>(</w:t>
            </w:r>
            <w:r>
              <w:rPr>
                <w:rStyle w:val="191"/>
                <w:rFonts w:hint="default" w:ascii="Times New Roman" w:hAnsi="Times New Roman" w:eastAsia="仿宋_GB2312" w:cs="Times New Roman"/>
                <w:color w:val="auto"/>
                <w:spacing w:val="-6"/>
                <w:highlight w:val="none"/>
                <w:lang w:val="en-US" w:eastAsia="zh-CN" w:bidi="ar"/>
              </w:rPr>
              <w:t>人</w:t>
            </w:r>
            <w:r>
              <w:rPr>
                <w:rStyle w:val="192"/>
                <w:rFonts w:hint="default" w:ascii="Times New Roman" w:hAnsi="Times New Roman" w:eastAsia="仿宋_GB2312" w:cs="Times New Roman"/>
                <w:color w:val="auto"/>
                <w:spacing w:val="-6"/>
                <w:highlight w:val="none"/>
                <w:lang w:val="en-US" w:eastAsia="zh-CN" w:bidi="ar"/>
              </w:rPr>
              <w:t>)</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达到国家下达的年度基本医保参保人数目标值</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2103.98万人</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439"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质量指标</w:t>
            </w: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Style w:val="191"/>
                <w:rFonts w:hint="default" w:ascii="Times New Roman" w:hAnsi="Times New Roman" w:eastAsia="仿宋_GB2312" w:cs="Times New Roman"/>
                <w:color w:val="auto"/>
                <w:spacing w:val="-6"/>
                <w:highlight w:val="none"/>
                <w:lang w:val="en-US" w:eastAsia="zh-CN" w:bidi="ar"/>
              </w:rPr>
              <w:t>重复参保人数</w:t>
            </w:r>
            <w:r>
              <w:rPr>
                <w:rStyle w:val="192"/>
                <w:rFonts w:hint="default" w:ascii="Times New Roman" w:hAnsi="Times New Roman" w:eastAsia="仿宋_GB2312" w:cs="Times New Roman"/>
                <w:color w:val="auto"/>
                <w:spacing w:val="-6"/>
                <w:highlight w:val="none"/>
                <w:lang w:val="en-US" w:eastAsia="zh-CN" w:bidi="ar"/>
              </w:rPr>
              <w:t>(</w:t>
            </w:r>
            <w:r>
              <w:rPr>
                <w:rStyle w:val="191"/>
                <w:rFonts w:hint="default" w:ascii="Times New Roman" w:hAnsi="Times New Roman" w:eastAsia="仿宋_GB2312" w:cs="Times New Roman"/>
                <w:color w:val="auto"/>
                <w:spacing w:val="-6"/>
                <w:highlight w:val="none"/>
                <w:lang w:val="en-US" w:eastAsia="zh-CN" w:bidi="ar"/>
              </w:rPr>
              <w:t>人</w:t>
            </w:r>
            <w:r>
              <w:rPr>
                <w:rStyle w:val="192"/>
                <w:rFonts w:hint="default" w:ascii="Times New Roman" w:hAnsi="Times New Roman" w:eastAsia="仿宋_GB2312" w:cs="Times New Roman"/>
                <w:color w:val="auto"/>
                <w:spacing w:val="-6"/>
                <w:highlight w:val="none"/>
                <w:lang w:val="en-US" w:eastAsia="zh-CN" w:bidi="ar"/>
              </w:rPr>
              <w:t>)</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439"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Style w:val="191"/>
                <w:rFonts w:hint="default" w:ascii="Times New Roman" w:hAnsi="Times New Roman" w:eastAsia="仿宋_GB2312" w:cs="Times New Roman"/>
                <w:color w:val="auto"/>
                <w:spacing w:val="-6"/>
                <w:highlight w:val="none"/>
                <w:lang w:val="en-US" w:eastAsia="zh-CN" w:bidi="ar"/>
              </w:rPr>
              <w:t>申请结算补助资金时多报、虚报参保人数</w:t>
            </w:r>
            <w:r>
              <w:rPr>
                <w:rStyle w:val="192"/>
                <w:rFonts w:hint="default" w:ascii="Times New Roman" w:hAnsi="Times New Roman" w:eastAsia="仿宋_GB2312" w:cs="Times New Roman"/>
                <w:color w:val="auto"/>
                <w:spacing w:val="-6"/>
                <w:highlight w:val="none"/>
                <w:lang w:val="en-US" w:eastAsia="zh-CN" w:bidi="ar"/>
              </w:rPr>
              <w:t>(</w:t>
            </w:r>
            <w:r>
              <w:rPr>
                <w:rStyle w:val="191"/>
                <w:rFonts w:hint="default" w:ascii="Times New Roman" w:hAnsi="Times New Roman" w:eastAsia="仿宋_GB2312" w:cs="Times New Roman"/>
                <w:color w:val="auto"/>
                <w:spacing w:val="-6"/>
                <w:highlight w:val="none"/>
                <w:lang w:val="en-US" w:eastAsia="zh-CN" w:bidi="ar"/>
              </w:rPr>
              <w:t>人</w:t>
            </w:r>
            <w:r>
              <w:rPr>
                <w:rStyle w:val="192"/>
                <w:rFonts w:hint="default" w:ascii="Times New Roman" w:hAnsi="Times New Roman" w:eastAsia="仿宋_GB2312" w:cs="Times New Roman"/>
                <w:color w:val="auto"/>
                <w:spacing w:val="-6"/>
                <w:highlight w:val="none"/>
                <w:lang w:val="en-US" w:eastAsia="zh-CN" w:bidi="ar"/>
              </w:rPr>
              <w:t>)</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439"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参保人政策范围内住院费用报销比例</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Style w:val="192"/>
                <w:rFonts w:hint="default" w:ascii="Times New Roman" w:hAnsi="Times New Roman" w:eastAsia="仿宋_GB2312" w:cs="Times New Roman"/>
                <w:color w:val="auto"/>
                <w:spacing w:val="-6"/>
                <w:highlight w:val="none"/>
                <w:lang w:val="en-US" w:eastAsia="zh-CN" w:bidi="ar"/>
              </w:rPr>
              <w:t>70%</w:t>
            </w:r>
            <w:r>
              <w:rPr>
                <w:rStyle w:val="191"/>
                <w:rFonts w:hint="default" w:ascii="Times New Roman" w:hAnsi="Times New Roman" w:eastAsia="仿宋_GB2312" w:cs="Times New Roman"/>
                <w:color w:val="auto"/>
                <w:spacing w:val="-6"/>
                <w:highlight w:val="none"/>
                <w:lang w:val="en-US" w:eastAsia="zh-CN" w:bidi="ar"/>
              </w:rPr>
              <w:t>左右</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70.86%</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439"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基金滚存结余可支付月数</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Style w:val="192"/>
                <w:rFonts w:hint="default" w:ascii="Times New Roman" w:hAnsi="Times New Roman" w:eastAsia="仿宋_GB2312" w:cs="Times New Roman"/>
                <w:color w:val="auto"/>
                <w:spacing w:val="-6"/>
                <w:highlight w:val="none"/>
                <w:lang w:val="en-US" w:eastAsia="zh-CN" w:bidi="ar"/>
              </w:rPr>
              <w:t>&gt;=6</w:t>
            </w:r>
            <w:r>
              <w:rPr>
                <w:rStyle w:val="191"/>
                <w:rFonts w:hint="default" w:ascii="Times New Roman" w:hAnsi="Times New Roman" w:eastAsia="仿宋_GB2312" w:cs="Times New Roman"/>
                <w:color w:val="auto"/>
                <w:spacing w:val="-6"/>
                <w:highlight w:val="none"/>
                <w:lang w:val="en-US" w:eastAsia="zh-CN" w:bidi="ar"/>
              </w:rPr>
              <w:t>个月</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Style w:val="192"/>
                <w:rFonts w:hint="default" w:ascii="Times New Roman" w:hAnsi="Times New Roman" w:eastAsia="仿宋_GB2312" w:cs="Times New Roman"/>
                <w:color w:val="auto"/>
                <w:spacing w:val="-6"/>
                <w:highlight w:val="none"/>
                <w:lang w:val="en-US" w:eastAsia="zh-CN" w:bidi="ar"/>
              </w:rPr>
              <w:t>11</w:t>
            </w:r>
            <w:r>
              <w:rPr>
                <w:rStyle w:val="191"/>
                <w:rFonts w:hint="default" w:ascii="Times New Roman" w:hAnsi="Times New Roman" w:eastAsia="仿宋_GB2312" w:cs="Times New Roman"/>
                <w:color w:val="auto"/>
                <w:spacing w:val="-6"/>
                <w:highlight w:val="none"/>
                <w:lang w:val="en-US" w:eastAsia="zh-CN" w:bidi="ar"/>
              </w:rPr>
              <w:t>个月</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439"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开展门诊统筹</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普遍开展</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100%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Style w:val="189"/>
                <w:rFonts w:hint="default" w:ascii="Times New Roman" w:hAnsi="Times New Roman" w:eastAsia="仿宋_GB2312" w:cs="Times New Roman"/>
                <w:color w:val="auto"/>
                <w:spacing w:val="-6"/>
                <w:highlight w:val="none"/>
                <w:lang w:val="en-US" w:eastAsia="zh-CN" w:bidi="ar"/>
              </w:rPr>
              <w:t>满意</w:t>
            </w:r>
            <w:r>
              <w:rPr>
                <w:rStyle w:val="190"/>
                <w:rFonts w:hint="default" w:ascii="Times New Roman" w:hAnsi="Times New Roman" w:eastAsia="仿宋_GB2312" w:cs="Times New Roman"/>
                <w:color w:val="auto"/>
                <w:spacing w:val="-6"/>
                <w:highlight w:val="none"/>
                <w:lang w:val="en-US" w:eastAsia="zh-CN" w:bidi="ar"/>
              </w:rPr>
              <w:br w:type="textWrapping"/>
            </w:r>
            <w:r>
              <w:rPr>
                <w:rStyle w:val="189"/>
                <w:rFonts w:hint="default" w:ascii="Times New Roman" w:hAnsi="Times New Roman" w:eastAsia="仿宋_GB2312" w:cs="Times New Roman"/>
                <w:color w:val="auto"/>
                <w:spacing w:val="-6"/>
                <w:highlight w:val="none"/>
                <w:lang w:val="en-US" w:eastAsia="zh-CN" w:bidi="ar"/>
              </w:rPr>
              <w:t>度指</w:t>
            </w:r>
            <w:r>
              <w:rPr>
                <w:rStyle w:val="190"/>
                <w:rFonts w:hint="default" w:ascii="Times New Roman" w:hAnsi="Times New Roman" w:eastAsia="仿宋_GB2312" w:cs="Times New Roman"/>
                <w:color w:val="auto"/>
                <w:spacing w:val="-6"/>
                <w:highlight w:val="none"/>
                <w:lang w:val="en-US" w:eastAsia="zh-CN" w:bidi="ar"/>
              </w:rPr>
              <w:br w:type="textWrapping"/>
            </w:r>
            <w:r>
              <w:rPr>
                <w:rStyle w:val="189"/>
                <w:rFonts w:hint="default" w:ascii="Times New Roman" w:hAnsi="Times New Roman" w:eastAsia="仿宋_GB2312" w:cs="Times New Roman"/>
                <w:color w:val="auto"/>
                <w:spacing w:val="-6"/>
                <w:highlight w:val="none"/>
                <w:lang w:val="en-US" w:eastAsia="zh-CN" w:bidi="ar"/>
              </w:rPr>
              <w:t>标</w:t>
            </w:r>
          </w:p>
        </w:tc>
        <w:tc>
          <w:tcPr>
            <w:tcW w:w="4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服务对象满意度指标</w:t>
            </w: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参保群众政策知晓率</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普遍知晓</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100%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4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autoSpaceDE/>
              <w:bidi w:val="0"/>
              <w:adjustRightInd/>
              <w:snapToGrid/>
              <w:spacing w:line="260" w:lineRule="exact"/>
              <w:jc w:val="center"/>
              <w:rPr>
                <w:rFonts w:hint="default" w:ascii="Times New Roman" w:hAnsi="Times New Roman" w:eastAsia="仿宋_GB2312" w:cs="Times New Roman"/>
                <w:i w:val="0"/>
                <w:iCs w:val="0"/>
                <w:color w:val="auto"/>
                <w:sz w:val="20"/>
                <w:szCs w:val="20"/>
                <w:highlight w:val="none"/>
                <w:u w:val="none"/>
              </w:rPr>
            </w:pPr>
          </w:p>
        </w:tc>
        <w:tc>
          <w:tcPr>
            <w:tcW w:w="11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参保对象满意度</w:t>
            </w:r>
          </w:p>
        </w:tc>
        <w:tc>
          <w:tcPr>
            <w:tcW w:w="12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&gt;=90%</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99.99%</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center"/>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说明</w:t>
            </w:r>
          </w:p>
        </w:tc>
        <w:tc>
          <w:tcPr>
            <w:tcW w:w="467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autoSpaceDE/>
              <w:bidi w:val="0"/>
              <w:adjustRightInd/>
              <w:snapToGrid/>
              <w:spacing w:line="260" w:lineRule="exact"/>
              <w:jc w:val="left"/>
              <w:textAlignment w:val="center"/>
              <w:rPr>
                <w:rFonts w:hint="default" w:ascii="Times New Roman" w:hAnsi="Times New Roman" w:eastAsia="仿宋_GB2312" w:cs="Times New Roman"/>
                <w:i w:val="0"/>
                <w:iCs w:val="0"/>
                <w:color w:val="auto"/>
                <w:sz w:val="20"/>
                <w:szCs w:val="20"/>
                <w:highlight w:val="none"/>
                <w:u w:val="none"/>
              </w:rPr>
            </w:pPr>
            <w:r>
              <w:rPr>
                <w:rFonts w:hint="default" w:ascii="Times New Roman" w:hAnsi="Times New Roman" w:eastAsia="仿宋_GB2312" w:cs="Times New Roman"/>
                <w:i w:val="0"/>
                <w:iCs w:val="0"/>
                <w:color w:val="auto"/>
                <w:spacing w:val="-6"/>
                <w:kern w:val="0"/>
                <w:sz w:val="20"/>
                <w:szCs w:val="20"/>
                <w:highlight w:val="none"/>
                <w:u w:val="none"/>
                <w:lang w:val="en-US" w:eastAsia="zh-CN" w:bidi="ar"/>
              </w:rPr>
              <w:t>无。</w:t>
            </w:r>
          </w:p>
        </w:tc>
      </w:tr>
    </w:tbl>
    <w:p>
      <w:pPr>
        <w:keepNext w:val="0"/>
        <w:keepLines w:val="0"/>
        <w:pageBreakBefore w:val="0"/>
        <w:widowControl w:val="0"/>
        <w:kinsoku/>
        <w:wordWrap/>
        <w:overflowPunct w:val="0"/>
        <w:topLinePunct/>
        <w:autoSpaceDE/>
        <w:autoSpaceDN w:val="0"/>
        <w:bidi w:val="0"/>
        <w:spacing w:line="560" w:lineRule="exact"/>
        <w:textAlignment w:val="auto"/>
        <w:rPr>
          <w:rFonts w:hint="default" w:ascii="Times New Roman" w:hAnsi="Times New Roman" w:cs="Times New Roman Regular"/>
          <w:color w:val="auto"/>
          <w:highlight w:val="none"/>
        </w:rPr>
      </w:pPr>
    </w:p>
    <w:sectPr>
      <w:footerReference r:id="rId4" w:type="default"/>
      <w:pgSz w:w="11906" w:h="16838"/>
      <w:pgMar w:top="2098" w:right="1474" w:bottom="1984" w:left="1587" w:header="850" w:footer="1020" w:gutter="0"/>
      <w:pgNumType w:fmt="decimal" w:start="1"/>
      <w:cols w:space="720" w:num="1"/>
      <w:docGrid w:type="linesAndChars" w:linePitch="592" w:charSpace="122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606221-3DF4-4523-BCF5-D92299F3763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8B4151F-59B3-4132-9BF2-96424DA1E1F1}"/>
  </w:font>
  <w:font w:name="楷体">
    <w:panose1 w:val="02010609060101010101"/>
    <w:charset w:val="86"/>
    <w:family w:val="modern"/>
    <w:pitch w:val="default"/>
    <w:sig w:usb0="800002BF" w:usb1="38CF7CFA" w:usb2="00000016" w:usb3="00000000" w:csb0="00040001" w:csb1="00000000"/>
    <w:embedRegular r:id="rId3" w:fontKey="{019DA3D7-9D7C-4CA3-9EC0-3F9E1B6B84D3}"/>
  </w:font>
  <w:font w:name="仿宋">
    <w:panose1 w:val="02010609060101010101"/>
    <w:charset w:val="86"/>
    <w:family w:val="modern"/>
    <w:pitch w:val="default"/>
    <w:sig w:usb0="800002BF" w:usb1="38CF7CFA" w:usb2="00000016" w:usb3="00000000" w:csb0="00040001" w:csb1="00000000"/>
    <w:embedRegular r:id="rId4" w:fontKey="{177EBB01-1F66-403B-B1F6-D399A21BF0ED}"/>
  </w:font>
  <w:font w:name="方正小标宋_GBK">
    <w:panose1 w:val="03000509000000000000"/>
    <w:charset w:val="86"/>
    <w:family w:val="script"/>
    <w:pitch w:val="default"/>
    <w:sig w:usb0="00000001" w:usb1="080E0000" w:usb2="00000000" w:usb3="00000000" w:csb0="00040000" w:csb1="00000000"/>
    <w:embedRegular r:id="rId5" w:fontKey="{0FF5C2E7-5961-4D8C-9671-57386F6CB1F9}"/>
  </w:font>
  <w:font w:name="方正仿宋_GBK">
    <w:panose1 w:val="03000509000000000000"/>
    <w:charset w:val="86"/>
    <w:family w:val="script"/>
    <w:pitch w:val="default"/>
    <w:sig w:usb0="00000001" w:usb1="080E0000" w:usb2="00000000" w:usb3="00000000" w:csb0="00040000" w:csb1="00000000"/>
    <w:embedRegular r:id="rId6" w:fontKey="{F86777BC-1D75-40F0-9B7A-61C9339311FD}"/>
  </w:font>
  <w:font w:name="Times New Roman Regular">
    <w:altName w:val="Times New Roman"/>
    <w:panose1 w:val="00000000000000000000"/>
    <w:charset w:val="00"/>
    <w:family w:val="auto"/>
    <w:pitch w:val="default"/>
    <w:sig w:usb0="00000000" w:usb1="00000000" w:usb2="00000001" w:usb3="00000000" w:csb0="400001BF" w:csb1="DFF70000"/>
    <w:embedRegular r:id="rId7" w:fontKey="{E79E52AA-4C5A-47CB-8231-9F3B9797B98E}"/>
  </w:font>
  <w:font w:name="楷体_GB2312">
    <w:panose1 w:val="02010609030101010101"/>
    <w:charset w:val="86"/>
    <w:family w:val="modern"/>
    <w:pitch w:val="default"/>
    <w:sig w:usb0="00000001" w:usb1="080E0000" w:usb2="00000000" w:usb3="00000000" w:csb0="00040000" w:csb1="00000000"/>
    <w:embedRegular r:id="rId8" w:fontKey="{692B05C6-3957-4DD8-85B7-B5A0FF6A13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wordWrap/>
      <w:spacing w:line="478" w:lineRule="auto"/>
      <w:ind w:right="308" w:rightChars="100"/>
      <w:jc w:val="both"/>
      <w:rPr>
        <w:rFonts w:ascii="仿宋" w:hAnsi="仿宋" w:eastAsia="仿宋" w:cs="仿宋"/>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wordWrap w:val="0"/>
      <w:spacing w:line="478" w:lineRule="auto"/>
      <w:ind w:right="308" w:rightChars="100"/>
      <w:jc w:val="right"/>
      <w:rPr>
        <w:rFonts w:ascii="仿宋" w:hAnsi="仿宋" w:eastAsia="仿宋" w:cs="仿宋"/>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chineseCountingThousand"/>
      <w:pStyle w:val="174"/>
      <w:suff w:val="space"/>
      <w:lvlText w:val="第%1章"/>
      <w:lvlJc w:val="left"/>
      <w:pPr>
        <w:ind w:left="0" w:firstLine="454"/>
      </w:pPr>
      <w:rPr>
        <w:rFonts w:hint="eastAsia" w:ascii="Times New Roman" w:eastAsia="黑体"/>
        <w:b w:val="0"/>
        <w:bCs w:val="0"/>
        <w:color w:val="auto"/>
      </w:rPr>
    </w:lvl>
    <w:lvl w:ilvl="1" w:tentative="0">
      <w:start w:val="1"/>
      <w:numFmt w:val="chineseCountingThousand"/>
      <w:suff w:val="space"/>
      <w:lvlText w:val="第%2条"/>
      <w:lvlJc w:val="left"/>
      <w:pPr>
        <w:ind w:left="0" w:firstLine="0"/>
      </w:pPr>
      <w:rPr>
        <w:rFonts w:hint="eastAsia" w:ascii="Times New Roman" w:eastAsia="黑体"/>
        <w:b w:val="0"/>
        <w:bCs w:val="0"/>
        <w:color w:val="auto"/>
      </w:rPr>
    </w:lvl>
    <w:lvl w:ilvl="2" w:tentative="0">
      <w:start w:val="1"/>
      <w:numFmt w:val="chineseCountingThousand"/>
      <w:suff w:val="space"/>
      <w:lvlText w:val="第%3条"/>
      <w:lvlJc w:val="left"/>
      <w:pPr>
        <w:ind w:left="0" w:firstLine="454"/>
      </w:pPr>
      <w:rPr>
        <w:rFonts w:hint="eastAsia" w:ascii="Times New Roman"/>
        <w:color w:val="auto"/>
      </w:rPr>
    </w:lvl>
    <w:lvl w:ilvl="3" w:tentative="0">
      <w:start w:val="1"/>
      <w:numFmt w:val="chineseCountingThousand"/>
      <w:suff w:val="space"/>
      <w:lvlText w:val="（%4）"/>
      <w:lvlJc w:val="left"/>
      <w:pPr>
        <w:ind w:left="0" w:firstLine="340"/>
      </w:pPr>
      <w:rPr>
        <w:rFonts w:hint="eastAsia" w:ascii="Times New Roman"/>
        <w:color w:val="auto"/>
      </w:rPr>
    </w:lvl>
    <w:lvl w:ilvl="4" w:tentative="0">
      <w:start w:val="1"/>
      <w:numFmt w:val="decimal"/>
      <w:suff w:val="space"/>
      <w:lvlText w:val="%5．"/>
      <w:lvlJc w:val="left"/>
      <w:pPr>
        <w:ind w:left="0" w:firstLine="454"/>
      </w:pPr>
      <w:rPr>
        <w:rFonts w:hint="eastAsia" w:ascii="Times New Roman"/>
        <w:color w:val="auto"/>
      </w:rPr>
    </w:lvl>
    <w:lvl w:ilvl="5" w:tentative="0">
      <w:start w:val="1"/>
      <w:numFmt w:val="decimal"/>
      <w:suff w:val="space"/>
      <w:lvlText w:val="（%6）"/>
      <w:lvlJc w:val="left"/>
      <w:pPr>
        <w:ind w:left="0" w:firstLine="340"/>
      </w:pPr>
      <w:rPr>
        <w:rFonts w:hint="eastAsia" w:ascii="Times New Roman"/>
        <w:color w:val="auto"/>
      </w:rPr>
    </w:lvl>
    <w:lvl w:ilvl="6" w:tentative="0">
      <w:start w:val="1"/>
      <w:numFmt w:val="decimalEnclosedCircle"/>
      <w:suff w:val="space"/>
      <w:lvlText w:val="%7 "/>
      <w:lvlJc w:val="left"/>
      <w:pPr>
        <w:ind w:left="0" w:firstLine="454"/>
      </w:pPr>
      <w:rPr>
        <w:rFonts w:hint="eastAsia" w:ascii="Times New Roman"/>
        <w:color w:val="auto"/>
      </w:rPr>
    </w:lvl>
    <w:lvl w:ilvl="7" w:tentative="0">
      <w:start w:val="1"/>
      <w:numFmt w:val="decimal"/>
      <w:suff w:val="space"/>
      <w:lvlText w:val="%8）"/>
      <w:lvlJc w:val="left"/>
      <w:pPr>
        <w:ind w:left="0" w:firstLine="454"/>
      </w:pPr>
      <w:rPr>
        <w:rFonts w:hint="eastAsia" w:ascii="Times New Roman"/>
        <w:color w:val="auto"/>
      </w:rPr>
    </w:lvl>
    <w:lvl w:ilvl="8" w:tentative="0">
      <w:start w:val="1"/>
      <w:numFmt w:val="none"/>
      <w:suff w:val="space"/>
      <w:lvlText w:val="a．"/>
      <w:lvlJc w:val="left"/>
      <w:pPr>
        <w:ind w:left="0" w:firstLine="454"/>
      </w:pPr>
      <w:rPr>
        <w:rFonts w:hint="eastAsia" w:ascii="Times New Roman"/>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HorizontalSpacing w:val="308"/>
  <w:drawingGridVerticalSpacing w:val="296"/>
  <w:displayHorizontalDrawingGridEvery w:val="1"/>
  <w:displayVerticalDrawingGridEvery w:val="1"/>
  <w:noPunctuationKerning w:val="1"/>
  <w:characterSpacingControl w:val="doNotCompress"/>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mZjFmNGVlY2EzZDdjNWFhZjRhZGQ4ZmNkNGYyY2QifQ=="/>
  </w:docVars>
  <w:rsids>
    <w:rsidRoot w:val="59D03FC9"/>
    <w:rsid w:val="00071F92"/>
    <w:rsid w:val="001B173E"/>
    <w:rsid w:val="00434491"/>
    <w:rsid w:val="004C698C"/>
    <w:rsid w:val="009073A4"/>
    <w:rsid w:val="009A64C6"/>
    <w:rsid w:val="00A466C8"/>
    <w:rsid w:val="00B63E63"/>
    <w:rsid w:val="00C57163"/>
    <w:rsid w:val="00DB49FC"/>
    <w:rsid w:val="00E623BC"/>
    <w:rsid w:val="00E87C45"/>
    <w:rsid w:val="00F952D5"/>
    <w:rsid w:val="012F690B"/>
    <w:rsid w:val="01627471"/>
    <w:rsid w:val="01783C73"/>
    <w:rsid w:val="02D15216"/>
    <w:rsid w:val="0475505E"/>
    <w:rsid w:val="05607FD3"/>
    <w:rsid w:val="056117E3"/>
    <w:rsid w:val="057A1088"/>
    <w:rsid w:val="05B747B5"/>
    <w:rsid w:val="06DD1A13"/>
    <w:rsid w:val="07620A32"/>
    <w:rsid w:val="078A35CE"/>
    <w:rsid w:val="078F0309"/>
    <w:rsid w:val="07FB2CF3"/>
    <w:rsid w:val="089B030C"/>
    <w:rsid w:val="08C302C2"/>
    <w:rsid w:val="08FA74BA"/>
    <w:rsid w:val="092E3144"/>
    <w:rsid w:val="0B0758A7"/>
    <w:rsid w:val="0B7948E1"/>
    <w:rsid w:val="0DDB40CB"/>
    <w:rsid w:val="0E846AA2"/>
    <w:rsid w:val="0EED5E99"/>
    <w:rsid w:val="0F244062"/>
    <w:rsid w:val="13760AF9"/>
    <w:rsid w:val="15290679"/>
    <w:rsid w:val="16383B80"/>
    <w:rsid w:val="165F0016"/>
    <w:rsid w:val="18FA44BA"/>
    <w:rsid w:val="1A1A55E6"/>
    <w:rsid w:val="1AED7FC5"/>
    <w:rsid w:val="1B6C448D"/>
    <w:rsid w:val="1CC50BD6"/>
    <w:rsid w:val="1D6567C6"/>
    <w:rsid w:val="1DDFEAA9"/>
    <w:rsid w:val="1E291CFE"/>
    <w:rsid w:val="1E2A5821"/>
    <w:rsid w:val="1E6FB7E1"/>
    <w:rsid w:val="1FC15723"/>
    <w:rsid w:val="21672AEF"/>
    <w:rsid w:val="21700F16"/>
    <w:rsid w:val="229C47D4"/>
    <w:rsid w:val="22FB1D2D"/>
    <w:rsid w:val="236964A7"/>
    <w:rsid w:val="24F95938"/>
    <w:rsid w:val="2597091B"/>
    <w:rsid w:val="268C4A4A"/>
    <w:rsid w:val="27B96F91"/>
    <w:rsid w:val="283163FF"/>
    <w:rsid w:val="29015363"/>
    <w:rsid w:val="29D81C33"/>
    <w:rsid w:val="2A994270"/>
    <w:rsid w:val="2C367966"/>
    <w:rsid w:val="2C934B7C"/>
    <w:rsid w:val="2CB97AED"/>
    <w:rsid w:val="2D5409B8"/>
    <w:rsid w:val="2D6C5562"/>
    <w:rsid w:val="2F200F35"/>
    <w:rsid w:val="2FA6143A"/>
    <w:rsid w:val="31F71651"/>
    <w:rsid w:val="331A42E4"/>
    <w:rsid w:val="33B2590B"/>
    <w:rsid w:val="3444136E"/>
    <w:rsid w:val="34443322"/>
    <w:rsid w:val="354A33CA"/>
    <w:rsid w:val="35691251"/>
    <w:rsid w:val="36B701C2"/>
    <w:rsid w:val="37C10485"/>
    <w:rsid w:val="37FFB5EA"/>
    <w:rsid w:val="38234CA6"/>
    <w:rsid w:val="38471845"/>
    <w:rsid w:val="38D01EDB"/>
    <w:rsid w:val="395D29A2"/>
    <w:rsid w:val="39B4213A"/>
    <w:rsid w:val="3B1F0857"/>
    <w:rsid w:val="3B617677"/>
    <w:rsid w:val="3BCB4B49"/>
    <w:rsid w:val="3E051A29"/>
    <w:rsid w:val="3F565079"/>
    <w:rsid w:val="3F6FB044"/>
    <w:rsid w:val="3FAF96AD"/>
    <w:rsid w:val="3FBBD79B"/>
    <w:rsid w:val="3FFD3505"/>
    <w:rsid w:val="3FFD7F3F"/>
    <w:rsid w:val="40965C4E"/>
    <w:rsid w:val="4101455B"/>
    <w:rsid w:val="41BB0BAE"/>
    <w:rsid w:val="425E25A2"/>
    <w:rsid w:val="42DF0DC2"/>
    <w:rsid w:val="42EC0E5A"/>
    <w:rsid w:val="4320516C"/>
    <w:rsid w:val="43291B47"/>
    <w:rsid w:val="44E8249C"/>
    <w:rsid w:val="456869F9"/>
    <w:rsid w:val="45B52AE9"/>
    <w:rsid w:val="46FA5CD4"/>
    <w:rsid w:val="47466D15"/>
    <w:rsid w:val="476D0E3B"/>
    <w:rsid w:val="489D250C"/>
    <w:rsid w:val="4A5B3BF9"/>
    <w:rsid w:val="4ADF5065"/>
    <w:rsid w:val="4AFB53AB"/>
    <w:rsid w:val="4B5B2430"/>
    <w:rsid w:val="4C0B6D51"/>
    <w:rsid w:val="4C7401A4"/>
    <w:rsid w:val="4CCF375F"/>
    <w:rsid w:val="4DAB1AD6"/>
    <w:rsid w:val="4E9D5267"/>
    <w:rsid w:val="4EDA0B4E"/>
    <w:rsid w:val="4EF13605"/>
    <w:rsid w:val="4F047901"/>
    <w:rsid w:val="50DA6634"/>
    <w:rsid w:val="510C4885"/>
    <w:rsid w:val="51C904BB"/>
    <w:rsid w:val="53381997"/>
    <w:rsid w:val="53696C7A"/>
    <w:rsid w:val="5369A27B"/>
    <w:rsid w:val="539F9BFA"/>
    <w:rsid w:val="549A5A48"/>
    <w:rsid w:val="5634122E"/>
    <w:rsid w:val="575E22AF"/>
    <w:rsid w:val="57FD55EA"/>
    <w:rsid w:val="59D03FC9"/>
    <w:rsid w:val="5B526AEB"/>
    <w:rsid w:val="5ED41DF7"/>
    <w:rsid w:val="5EDE7177"/>
    <w:rsid w:val="5FFD8F81"/>
    <w:rsid w:val="609A3E68"/>
    <w:rsid w:val="61D14FDF"/>
    <w:rsid w:val="633A04D8"/>
    <w:rsid w:val="63886FFF"/>
    <w:rsid w:val="64492C55"/>
    <w:rsid w:val="64654C7D"/>
    <w:rsid w:val="663474D7"/>
    <w:rsid w:val="66F51698"/>
    <w:rsid w:val="67522697"/>
    <w:rsid w:val="68CA0EF0"/>
    <w:rsid w:val="6A570C85"/>
    <w:rsid w:val="6B5A17AD"/>
    <w:rsid w:val="6B5F4B0A"/>
    <w:rsid w:val="6B6D70E5"/>
    <w:rsid w:val="6CC04ED4"/>
    <w:rsid w:val="6DAFFA27"/>
    <w:rsid w:val="6DC72BAB"/>
    <w:rsid w:val="6E643E91"/>
    <w:rsid w:val="6E6BF0BE"/>
    <w:rsid w:val="6FF440BA"/>
    <w:rsid w:val="714C6B88"/>
    <w:rsid w:val="71DF567C"/>
    <w:rsid w:val="7256030B"/>
    <w:rsid w:val="72A22A1E"/>
    <w:rsid w:val="73BD0A2D"/>
    <w:rsid w:val="74516EE2"/>
    <w:rsid w:val="74B16002"/>
    <w:rsid w:val="74E113E9"/>
    <w:rsid w:val="753E6906"/>
    <w:rsid w:val="755FC2E7"/>
    <w:rsid w:val="7587F45D"/>
    <w:rsid w:val="762746B0"/>
    <w:rsid w:val="76D304FB"/>
    <w:rsid w:val="76DF0815"/>
    <w:rsid w:val="77AF566A"/>
    <w:rsid w:val="77CFEFD3"/>
    <w:rsid w:val="77F5035D"/>
    <w:rsid w:val="787C3AB9"/>
    <w:rsid w:val="78A358FC"/>
    <w:rsid w:val="79E778E6"/>
    <w:rsid w:val="7A7470CE"/>
    <w:rsid w:val="7B444BD7"/>
    <w:rsid w:val="7B7C26CA"/>
    <w:rsid w:val="7D0C6C6A"/>
    <w:rsid w:val="7D34233B"/>
    <w:rsid w:val="7D8ADEE3"/>
    <w:rsid w:val="7D8F1BF3"/>
    <w:rsid w:val="7D915F3A"/>
    <w:rsid w:val="7DFCCA48"/>
    <w:rsid w:val="7E8816B5"/>
    <w:rsid w:val="7E90249F"/>
    <w:rsid w:val="7EDE2F39"/>
    <w:rsid w:val="7EEF24F6"/>
    <w:rsid w:val="7F36F99B"/>
    <w:rsid w:val="7FB55A19"/>
    <w:rsid w:val="7FB95889"/>
    <w:rsid w:val="7FBE4D47"/>
    <w:rsid w:val="7FEA11DC"/>
    <w:rsid w:val="7FEBFECC"/>
    <w:rsid w:val="8FF716B8"/>
    <w:rsid w:val="97F20CFE"/>
    <w:rsid w:val="9BE2988A"/>
    <w:rsid w:val="A2BDA513"/>
    <w:rsid w:val="B4E932C3"/>
    <w:rsid w:val="BEE7F65A"/>
    <w:rsid w:val="E8DDC30C"/>
    <w:rsid w:val="EE7F5BE4"/>
    <w:rsid w:val="EFFCBC21"/>
    <w:rsid w:val="F3E3B4F6"/>
    <w:rsid w:val="F67D2922"/>
    <w:rsid w:val="FB7D4484"/>
    <w:rsid w:val="FB7FB56C"/>
    <w:rsid w:val="FCFF2A49"/>
    <w:rsid w:val="FDAE7161"/>
    <w:rsid w:val="FE5FCAD6"/>
    <w:rsid w:val="FF776EFD"/>
    <w:rsid w:val="FFEBF632"/>
    <w:rsid w:val="FFF57E51"/>
    <w:rsid w:val="FFF78E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qFormat="1" w:unhideWhenUsed="0" w:uiPriority="0" w:semiHidden="0" w:name="line number"/>
    <w:lsdException w:qFormat="1" w:unhideWhenUsed="0" w:uiPriority="0" w:semiHidden="0"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uiPriority="99" w:name="Balloon Text"/>
    <w:lsdException w:qFormat="1" w:uiPriority="99" w:name="Table Grid"/>
    <w:lsdException w:qFormat="1"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widowControl w:val="0"/>
      <w:overflowPunct w:val="0"/>
      <w:topLinePunct/>
      <w:autoSpaceDN w:val="0"/>
      <w:jc w:val="both"/>
    </w:pPr>
    <w:rPr>
      <w:rFonts w:hint="eastAsia" w:ascii="Times New Roman" w:hAnsi="Times New Roman" w:eastAsia="仿宋_GB2312" w:cs="Times New Roman"/>
      <w:spacing w:val="-6"/>
      <w:kern w:val="2"/>
      <w:sz w:val="32"/>
      <w:szCs w:val="32"/>
      <w:lang w:val="en-US" w:eastAsia="zh-CN" w:bidi="ar-SA"/>
    </w:rPr>
  </w:style>
  <w:style w:type="paragraph" w:styleId="3">
    <w:name w:val="heading 1"/>
    <w:next w:val="1"/>
    <w:qFormat/>
    <w:uiPriority w:val="9"/>
    <w:pPr>
      <w:widowControl w:val="0"/>
      <w:overflowPunct w:val="0"/>
      <w:topLinePunct/>
      <w:jc w:val="both"/>
      <w:outlineLvl w:val="0"/>
    </w:pPr>
    <w:rPr>
      <w:rFonts w:ascii="Times New Roman" w:hAnsi="Times New Roman" w:eastAsia="黑体" w:cs="Times New Roman"/>
      <w:kern w:val="2"/>
      <w:sz w:val="32"/>
      <w:szCs w:val="32"/>
      <w:lang w:val="en-US" w:eastAsia="zh-CN" w:bidi="ar-SA"/>
    </w:rPr>
  </w:style>
  <w:style w:type="paragraph" w:styleId="4">
    <w:name w:val="heading 2"/>
    <w:next w:val="1"/>
    <w:unhideWhenUsed/>
    <w:qFormat/>
    <w:uiPriority w:val="9"/>
    <w:pPr>
      <w:widowControl w:val="0"/>
      <w:overflowPunct w:val="0"/>
      <w:topLinePunct/>
      <w:jc w:val="both"/>
      <w:outlineLvl w:val="1"/>
    </w:pPr>
    <w:rPr>
      <w:rFonts w:ascii="Times New Roman" w:hAnsi="Times New Roman" w:eastAsia="楷体" w:cs="Times New Roman"/>
      <w:kern w:val="2"/>
      <w:sz w:val="32"/>
      <w:szCs w:val="32"/>
      <w:lang w:val="en-US" w:eastAsia="zh-CN" w:bidi="ar-SA"/>
    </w:rPr>
  </w:style>
  <w:style w:type="paragraph" w:styleId="5">
    <w:name w:val="heading 3"/>
    <w:next w:val="1"/>
    <w:unhideWhenUsed/>
    <w:qFormat/>
    <w:uiPriority w:val="9"/>
    <w:pPr>
      <w:widowControl w:val="0"/>
      <w:overflowPunct w:val="0"/>
      <w:topLinePunct/>
      <w:jc w:val="both"/>
      <w:outlineLvl w:val="2"/>
    </w:pPr>
    <w:rPr>
      <w:rFonts w:ascii="Times New Roman" w:hAnsi="Times New Roman" w:eastAsia="仿宋_GB2312" w:cs="Times New Roman"/>
      <w:kern w:val="2"/>
      <w:sz w:val="32"/>
      <w:szCs w:val="32"/>
      <w:lang w:val="en-US" w:eastAsia="zh-CN" w:bidi="ar-SA"/>
    </w:rPr>
  </w:style>
  <w:style w:type="paragraph" w:styleId="6">
    <w:name w:val="heading 4"/>
    <w:next w:val="1"/>
    <w:unhideWhenUsed/>
    <w:qFormat/>
    <w:uiPriority w:val="9"/>
    <w:pPr>
      <w:widowControl w:val="0"/>
      <w:overflowPunct w:val="0"/>
      <w:topLinePunct/>
      <w:jc w:val="both"/>
      <w:outlineLvl w:val="3"/>
    </w:pPr>
    <w:rPr>
      <w:rFonts w:ascii="Times New Roman" w:hAnsi="Times New Roman" w:eastAsia="仿宋_GB2312" w:cs="Times New Roman"/>
      <w:kern w:val="2"/>
      <w:sz w:val="32"/>
      <w:szCs w:val="32"/>
      <w:lang w:val="en-US" w:eastAsia="zh-CN" w:bidi="ar-SA"/>
    </w:rPr>
  </w:style>
  <w:style w:type="character" w:default="1" w:styleId="154">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7">
    <w:name w:val="Body Text"/>
    <w:basedOn w:val="1"/>
    <w:semiHidden/>
    <w:qFormat/>
    <w:uiPriority w:val="0"/>
    <w:rPr>
      <w:rFonts w:ascii="仿宋" w:hAnsi="仿宋" w:eastAsia="仿宋" w:cs="仿宋"/>
      <w:sz w:val="32"/>
      <w:szCs w:val="32"/>
      <w:lang w:val="en-US" w:eastAsia="en-US" w:bidi="ar-SA"/>
    </w:rPr>
  </w:style>
  <w:style w:type="paragraph" w:styleId="8">
    <w:name w:val="footer"/>
    <w:basedOn w:val="1"/>
    <w:next w:val="1"/>
    <w:qFormat/>
    <w:uiPriority w:val="0"/>
    <w:pPr>
      <w:tabs>
        <w:tab w:val="center" w:pos="4153"/>
        <w:tab w:val="right" w:pos="8306"/>
      </w:tabs>
      <w:autoSpaceDE w:val="0"/>
      <w:adjustRightInd w:val="0"/>
      <w:spacing w:line="240" w:lineRule="atLeast"/>
      <w:textAlignment w:val="baseline"/>
    </w:pPr>
    <w:rPr>
      <w:rFonts w:hint="default"/>
      <w:sz w:val="20"/>
      <w:szCs w:val="20"/>
    </w:rPr>
  </w:style>
  <w:style w:type="paragraph" w:styleId="9">
    <w:name w:val="header"/>
    <w:basedOn w:val="1"/>
    <w:qFormat/>
    <w:uiPriority w:val="0"/>
    <w:pPr>
      <w:tabs>
        <w:tab w:val="center" w:pos="4153"/>
        <w:tab w:val="right" w:pos="8306"/>
      </w:tabs>
      <w:autoSpaceDE w:val="0"/>
      <w:adjustRightInd w:val="0"/>
      <w:spacing w:line="240" w:lineRule="atLeast"/>
      <w:textAlignment w:val="baseline"/>
    </w:pPr>
    <w:rPr>
      <w:rFonts w:hint="default"/>
      <w:sz w:val="20"/>
      <w:szCs w:val="20"/>
    </w:rPr>
  </w:style>
  <w:style w:type="paragraph" w:styleId="10">
    <w:name w:val="Normal (Web)"/>
    <w:basedOn w:val="1"/>
    <w:semiHidden/>
    <w:unhideWhenUsed/>
    <w:qFormat/>
    <w:uiPriority w:val="99"/>
    <w:pPr>
      <w:spacing w:beforeAutospacing="1" w:afterAutospacing="1"/>
      <w:jc w:val="left"/>
    </w:pPr>
    <w:rPr>
      <w:kern w:val="0"/>
      <w:sz w:val="24"/>
    </w:rPr>
  </w:style>
  <w:style w:type="table" w:styleId="12">
    <w:name w:val="Table Grid"/>
    <w:basedOn w:val="1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3">
    <w:name w:val="Table Theme"/>
    <w:basedOn w:val="1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4">
    <w:name w:val="Table Colorful 1"/>
    <w:basedOn w:val="11"/>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5">
    <w:name w:val="Table Colorful 2"/>
    <w:basedOn w:val="11"/>
    <w:semiHidden/>
    <w:unhideWhenUsed/>
    <w:qFormat/>
    <w:uiPriority w:val="99"/>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6">
    <w:name w:val="Table Colorful 3"/>
    <w:basedOn w:val="11"/>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7">
    <w:name w:val="Table Elegant"/>
    <w:basedOn w:val="11"/>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8">
    <w:name w:val="Table Classic 1"/>
    <w:basedOn w:val="11"/>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9">
    <w:name w:val="Table Classic 2"/>
    <w:basedOn w:val="11"/>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0">
    <w:name w:val="Table Classic 3"/>
    <w:basedOn w:val="11"/>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1">
    <w:name w:val="Table Classic 4"/>
    <w:basedOn w:val="11"/>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22">
    <w:name w:val="Table Simple 1"/>
    <w:basedOn w:val="11"/>
    <w:semiHidden/>
    <w:unhideWhenUsed/>
    <w:qFormat/>
    <w:uiPriority w:val="99"/>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23">
    <w:name w:val="Table Simple 2"/>
    <w:basedOn w:val="11"/>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24">
    <w:name w:val="Table Simple 3"/>
    <w:basedOn w:val="11"/>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25">
    <w:name w:val="Table Subtle 1"/>
    <w:basedOn w:val="11"/>
    <w:semiHidden/>
    <w:unhideWhenUsed/>
    <w:qFormat/>
    <w:uiPriority w:val="99"/>
    <w:pPr>
      <w:widowControl w:val="0"/>
      <w:jc w:val="both"/>
    </w:pPr>
    <w:tblPr>
      <w:tblCellMar>
        <w:top w:w="0" w:type="dxa"/>
        <w:left w:w="108" w:type="dxa"/>
        <w:bottom w:w="0" w:type="dxa"/>
        <w:right w:w="108" w:type="dxa"/>
      </w:tblCellMar>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6">
    <w:name w:val="Table Subtle 2"/>
    <w:basedOn w:val="11"/>
    <w:semiHidden/>
    <w:unhideWhenUsed/>
    <w:qFormat/>
    <w:uiPriority w:val="99"/>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7">
    <w:name w:val="Table 3D effects 1"/>
    <w:basedOn w:val="11"/>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28">
    <w:name w:val="Table 3D effects 2"/>
    <w:basedOn w:val="11"/>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29">
    <w:name w:val="Table 3D effects 3"/>
    <w:basedOn w:val="11"/>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30">
    <w:name w:val="Table List 1"/>
    <w:basedOn w:val="11"/>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1">
    <w:name w:val="Table List 2"/>
    <w:basedOn w:val="11"/>
    <w:semiHidden/>
    <w:unhideWhenUsed/>
    <w:qFormat/>
    <w:uiPriority w:val="99"/>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2">
    <w:name w:val="Table List 3"/>
    <w:basedOn w:val="11"/>
    <w:semiHidden/>
    <w:unhideWhenUsed/>
    <w:qFormat/>
    <w:uiPriority w:val="99"/>
    <w:pPr>
      <w:widowControl w:val="0"/>
      <w:jc w:val="both"/>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33">
    <w:name w:val="Table List 4"/>
    <w:basedOn w:val="11"/>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34">
    <w:name w:val="Table List 5"/>
    <w:basedOn w:val="11"/>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35">
    <w:name w:val="Table List 6"/>
    <w:basedOn w:val="11"/>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36">
    <w:name w:val="Table List 7"/>
    <w:basedOn w:val="11"/>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37">
    <w:name w:val="Table List 8"/>
    <w:basedOn w:val="11"/>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38">
    <w:name w:val="Table Contemporary"/>
    <w:basedOn w:val="11"/>
    <w:semiHidden/>
    <w:unhideWhenUsed/>
    <w:qFormat/>
    <w:uiPriority w:val="99"/>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39">
    <w:name w:val="Table Columns 1"/>
    <w:basedOn w:val="11"/>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0">
    <w:name w:val="Table Columns 2"/>
    <w:basedOn w:val="11"/>
    <w:semiHidden/>
    <w:unhideWhenUsed/>
    <w:qFormat/>
    <w:uiPriority w:val="99"/>
    <w:pPr>
      <w:widowControl w:val="0"/>
      <w:jc w:val="both"/>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1">
    <w:name w:val="Table Columns 3"/>
    <w:basedOn w:val="11"/>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2">
    <w:name w:val="Table Columns 4"/>
    <w:basedOn w:val="11"/>
    <w:semiHidden/>
    <w:unhideWhenUsed/>
    <w:qFormat/>
    <w:uiPriority w:val="99"/>
    <w:pPr>
      <w:widowControl w:val="0"/>
      <w:jc w:val="both"/>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43">
    <w:name w:val="Table Columns 5"/>
    <w:basedOn w:val="11"/>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44">
    <w:name w:val="Table Grid 1"/>
    <w:basedOn w:val="11"/>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2"/>
    <w:basedOn w:val="11"/>
    <w:semiHidden/>
    <w:unhideWhenUsed/>
    <w:qFormat/>
    <w:uiPriority w:val="99"/>
    <w:pPr>
      <w:widowControl w:val="0"/>
      <w:jc w:val="both"/>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46">
    <w:name w:val="Table Grid 3"/>
    <w:basedOn w:val="11"/>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7">
    <w:name w:val="Table Grid 4"/>
    <w:basedOn w:val="11"/>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48">
    <w:name w:val="Table Grid 5"/>
    <w:basedOn w:val="11"/>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9">
    <w:name w:val="Table Grid 6"/>
    <w:basedOn w:val="11"/>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50">
    <w:name w:val="Table Grid 7"/>
    <w:basedOn w:val="11"/>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51">
    <w:name w:val="Table Grid 8"/>
    <w:basedOn w:val="11"/>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52">
    <w:name w:val="Table Web 1"/>
    <w:basedOn w:val="11"/>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53">
    <w:name w:val="Table Web 2"/>
    <w:basedOn w:val="11"/>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54">
    <w:name w:val="Table Web 3"/>
    <w:basedOn w:val="11"/>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55">
    <w:name w:val="Table Professional"/>
    <w:basedOn w:val="11"/>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56">
    <w:name w:val="Light Shading"/>
    <w:basedOn w:val="11"/>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57">
    <w:name w:val="Light Shading Accent 1"/>
    <w:basedOn w:val="11"/>
    <w:qFormat/>
    <w:uiPriority w:val="6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58">
    <w:name w:val="Light Shading Accent 2"/>
    <w:basedOn w:val="11"/>
    <w:qFormat/>
    <w:uiPriority w:val="60"/>
    <w:rPr>
      <w:color w:val="943634"/>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59">
    <w:name w:val="Light Shading Accent 3"/>
    <w:basedOn w:val="11"/>
    <w:qFormat/>
    <w:uiPriority w:val="60"/>
    <w:rPr>
      <w:color w:val="76923C"/>
    </w:rPr>
    <w:tblPr>
      <w:tblBorders>
        <w:top w:val="single" w:color="9BBB59" w:sz="8" w:space="0"/>
        <w:bottom w:val="single" w:color="9BBB59"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60">
    <w:name w:val="Light Shading Accent 4"/>
    <w:basedOn w:val="11"/>
    <w:qFormat/>
    <w:uiPriority w:val="60"/>
    <w:rPr>
      <w:color w:val="5F497A"/>
    </w:rPr>
    <w:tblPr>
      <w:tblBorders>
        <w:top w:val="single" w:color="8064A2" w:sz="8" w:space="0"/>
        <w:bottom w:val="single" w:color="8064A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61">
    <w:name w:val="Light Shading Accent 5"/>
    <w:basedOn w:val="11"/>
    <w:qFormat/>
    <w:uiPriority w:val="60"/>
    <w:rPr>
      <w:color w:val="31849B"/>
    </w:rPr>
    <w:tblPr>
      <w:tblBorders>
        <w:top w:val="single" w:color="4BACC6" w:sz="8" w:space="0"/>
        <w:bottom w:val="single" w:color="4BACC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62">
    <w:name w:val="Light Shading Accent 6"/>
    <w:basedOn w:val="11"/>
    <w:qFormat/>
    <w:uiPriority w:val="60"/>
    <w:rPr>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63">
    <w:name w:val="Light List"/>
    <w:basedOn w:val="11"/>
    <w:qFormat/>
    <w:uiPriority w:val="61"/>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64">
    <w:name w:val="Light List Accent 1"/>
    <w:basedOn w:val="11"/>
    <w:qFormat/>
    <w:uiPriority w:val="61"/>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65">
    <w:name w:val="Light List Accent 2"/>
    <w:basedOn w:val="11"/>
    <w:qFormat/>
    <w:uiPriority w:val="61"/>
    <w:tblPr>
      <w:tblBorders>
        <w:top w:val="single" w:color="C0504D" w:sz="8" w:space="0"/>
        <w:left w:val="single" w:color="C0504D" w:sz="8" w:space="0"/>
        <w:bottom w:val="single" w:color="C0504D" w:sz="8" w:space="0"/>
        <w:right w:val="single" w:color="C0504D"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66">
    <w:name w:val="Light List Accent 3"/>
    <w:basedOn w:val="11"/>
    <w:qFormat/>
    <w:uiPriority w:val="61"/>
    <w:tblPr>
      <w:tblBorders>
        <w:top w:val="single" w:color="9BBB59" w:sz="8" w:space="0"/>
        <w:left w:val="single" w:color="9BBB59" w:sz="8" w:space="0"/>
        <w:bottom w:val="single" w:color="9BBB59" w:sz="8" w:space="0"/>
        <w:right w:val="single" w:color="9BBB59"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67">
    <w:name w:val="Light List Accent 4"/>
    <w:basedOn w:val="11"/>
    <w:qFormat/>
    <w:uiPriority w:val="61"/>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68">
    <w:name w:val="Light List Accent 5"/>
    <w:basedOn w:val="11"/>
    <w:qFormat/>
    <w:uiPriority w:val="61"/>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69">
    <w:name w:val="Light List Accent 6"/>
    <w:basedOn w:val="11"/>
    <w:qFormat/>
    <w:uiPriority w:val="61"/>
    <w:tblPr>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70">
    <w:name w:val="Light Grid"/>
    <w:basedOn w:val="1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71">
    <w:name w:val="Light Grid Accent 1"/>
    <w:basedOn w:val="11"/>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72">
    <w:name w:val="Light Grid Accent 2"/>
    <w:basedOn w:val="11"/>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73">
    <w:name w:val="Light Grid Accent 3"/>
    <w:basedOn w:val="11"/>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74">
    <w:name w:val="Light Grid Accent 4"/>
    <w:basedOn w:val="11"/>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75">
    <w:name w:val="Light Grid Accent 5"/>
    <w:basedOn w:val="1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76">
    <w:name w:val="Light Grid Accent 6"/>
    <w:basedOn w:val="11"/>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77">
    <w:name w:val="Medium Shading 1"/>
    <w:basedOn w:val="11"/>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78">
    <w:name w:val="Medium Shading 1 Accent 1"/>
    <w:basedOn w:val="11"/>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79">
    <w:name w:val="Medium Shading 1 Accent 2"/>
    <w:basedOn w:val="11"/>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80">
    <w:name w:val="Medium Shading 1 Accent 3"/>
    <w:basedOn w:val="11"/>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81">
    <w:name w:val="Medium Shading 1 Accent 4"/>
    <w:basedOn w:val="11"/>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82">
    <w:name w:val="Medium Shading 1 Accent 5"/>
    <w:basedOn w:val="11"/>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83">
    <w:name w:val="Medium Shading 1 Accent 6"/>
    <w:basedOn w:val="11"/>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84">
    <w:name w:val="Medium Shading 2"/>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5">
    <w:name w:val="Medium Shading 2 Accent 1"/>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6">
    <w:name w:val="Medium Shading 2 Accent 2"/>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7">
    <w:name w:val="Medium Shading 2 Accent 3"/>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8">
    <w:name w:val="Medium Shading 2 Accent 4"/>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9">
    <w:name w:val="Medium Shading 2 Accent 5"/>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90">
    <w:name w:val="Medium Shading 2 Accent 6"/>
    <w:basedOn w:val="1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91">
    <w:name w:val="Medium List 1"/>
    <w:basedOn w:val="11"/>
    <w:qFormat/>
    <w:uiPriority w:val="65"/>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92">
    <w:name w:val="Medium List 1 Accent 1"/>
    <w:basedOn w:val="11"/>
    <w:qFormat/>
    <w:uiPriority w:val="65"/>
    <w:rPr>
      <w:color w:val="000000"/>
    </w:rPr>
    <w:tblPr>
      <w:tblBorders>
        <w:top w:val="single" w:color="4F81BD" w:sz="8" w:space="0"/>
        <w:bottom w:val="single" w:color="4F81BD" w:sz="8" w:space="0"/>
      </w:tblBorders>
      <w:tblCellMar>
        <w:top w:w="0" w:type="dxa"/>
        <w:left w:w="108" w:type="dxa"/>
        <w:bottom w:w="0" w:type="dxa"/>
        <w:right w:w="108" w:type="dxa"/>
      </w:tblCellMar>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93">
    <w:name w:val="Medium List 1 Accent 2"/>
    <w:basedOn w:val="11"/>
    <w:qFormat/>
    <w:uiPriority w:val="65"/>
    <w:rPr>
      <w:color w:val="000000"/>
    </w:rPr>
    <w:tblPr>
      <w:tblBorders>
        <w:top w:val="single" w:color="C0504D" w:sz="8" w:space="0"/>
        <w:bottom w:val="single" w:color="C0504D" w:sz="8" w:space="0"/>
      </w:tblBorders>
      <w:tblCellMar>
        <w:top w:w="0" w:type="dxa"/>
        <w:left w:w="108" w:type="dxa"/>
        <w:bottom w:w="0" w:type="dxa"/>
        <w:right w:w="108" w:type="dxa"/>
      </w:tblCellMar>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94">
    <w:name w:val="Medium List 1 Accent 3"/>
    <w:basedOn w:val="11"/>
    <w:qFormat/>
    <w:uiPriority w:val="65"/>
    <w:rPr>
      <w:color w:val="000000"/>
    </w:rPr>
    <w:tblPr>
      <w:tblBorders>
        <w:top w:val="single" w:color="9BBB59" w:sz="8" w:space="0"/>
        <w:bottom w:val="single" w:color="9BBB59" w:sz="8" w:space="0"/>
      </w:tblBorders>
      <w:tblCellMar>
        <w:top w:w="0" w:type="dxa"/>
        <w:left w:w="108" w:type="dxa"/>
        <w:bottom w:w="0" w:type="dxa"/>
        <w:right w:w="108" w:type="dxa"/>
      </w:tblCellMar>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95">
    <w:name w:val="Medium List 1 Accent 4"/>
    <w:basedOn w:val="11"/>
    <w:qFormat/>
    <w:uiPriority w:val="65"/>
    <w:rPr>
      <w:color w:val="000000"/>
    </w:rPr>
    <w:tblPr>
      <w:tblBorders>
        <w:top w:val="single" w:color="8064A2" w:sz="8" w:space="0"/>
        <w:bottom w:val="single" w:color="8064A2" w:sz="8" w:space="0"/>
      </w:tblBorders>
      <w:tblCellMar>
        <w:top w:w="0" w:type="dxa"/>
        <w:left w:w="108" w:type="dxa"/>
        <w:bottom w:w="0" w:type="dxa"/>
        <w:right w:w="108" w:type="dxa"/>
      </w:tblCellMar>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96">
    <w:name w:val="Medium List 1 Accent 5"/>
    <w:basedOn w:val="11"/>
    <w:qFormat/>
    <w:uiPriority w:val="65"/>
    <w:rPr>
      <w:color w:val="000000"/>
    </w:rPr>
    <w:tblPr>
      <w:tblBorders>
        <w:top w:val="single" w:color="4BACC6" w:sz="8" w:space="0"/>
        <w:bottom w:val="single" w:color="4BACC6" w:sz="8" w:space="0"/>
      </w:tblBorders>
      <w:tblCellMar>
        <w:top w:w="0" w:type="dxa"/>
        <w:left w:w="108" w:type="dxa"/>
        <w:bottom w:w="0" w:type="dxa"/>
        <w:right w:w="108" w:type="dxa"/>
      </w:tblCellMar>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97">
    <w:name w:val="Medium List 1 Accent 6"/>
    <w:basedOn w:val="11"/>
    <w:qFormat/>
    <w:uiPriority w:val="65"/>
    <w:rPr>
      <w:color w:val="000000"/>
    </w:rPr>
    <w:tblPr>
      <w:tblBorders>
        <w:top w:val="single" w:color="F79646" w:sz="8" w:space="0"/>
        <w:bottom w:val="single" w:color="F79646" w:sz="8" w:space="0"/>
      </w:tblBorders>
      <w:tblCellMar>
        <w:top w:w="0" w:type="dxa"/>
        <w:left w:w="108" w:type="dxa"/>
        <w:bottom w:w="0" w:type="dxa"/>
        <w:right w:w="108" w:type="dxa"/>
      </w:tblCellMar>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98">
    <w:name w:val="Medium List 2"/>
    <w:basedOn w:val="11"/>
    <w:qFormat/>
    <w:uiPriority w:val="66"/>
    <w:rPr>
      <w:rFonts w:hAnsi="Symbol" w:eastAsia="黑体"/>
      <w:color w:val="000000"/>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99">
    <w:name w:val="Medium List 2 Accent 1"/>
    <w:basedOn w:val="11"/>
    <w:qFormat/>
    <w:uiPriority w:val="66"/>
    <w:rPr>
      <w:rFonts w:hAnsi="Symbol" w:eastAsia="黑体"/>
      <w:color w:val="000000"/>
    </w:rPr>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00">
    <w:name w:val="Medium List 2 Accent 2"/>
    <w:basedOn w:val="11"/>
    <w:qFormat/>
    <w:uiPriority w:val="66"/>
    <w:rPr>
      <w:rFonts w:hAnsi="Symbol" w:eastAsia="黑体"/>
      <w:color w:val="000000"/>
    </w:rPr>
    <w:tblPr>
      <w:tblBorders>
        <w:top w:val="single" w:color="C0504D" w:sz="8" w:space="0"/>
        <w:left w:val="single" w:color="C0504D" w:sz="8" w:space="0"/>
        <w:bottom w:val="single" w:color="C0504D" w:sz="8" w:space="0"/>
        <w:right w:val="single" w:color="C0504D" w:sz="8" w:space="0"/>
      </w:tblBorders>
      <w:tblCellMar>
        <w:top w:w="0" w:type="dxa"/>
        <w:left w:w="108" w:type="dxa"/>
        <w:bottom w:w="0" w:type="dxa"/>
        <w:right w:w="108" w:type="dxa"/>
      </w:tblCellMar>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01">
    <w:name w:val="Medium List 2 Accent 3"/>
    <w:basedOn w:val="11"/>
    <w:qFormat/>
    <w:uiPriority w:val="66"/>
    <w:rPr>
      <w:rFonts w:hAnsi="Symbol" w:eastAsia="黑体"/>
      <w:color w:val="000000"/>
    </w:rPr>
    <w:tblPr>
      <w:tblBorders>
        <w:top w:val="single" w:color="9BBB59" w:sz="8" w:space="0"/>
        <w:left w:val="single" w:color="9BBB59" w:sz="8" w:space="0"/>
        <w:bottom w:val="single" w:color="9BBB59" w:sz="8" w:space="0"/>
        <w:right w:val="single" w:color="9BBB59" w:sz="8" w:space="0"/>
      </w:tblBorders>
      <w:tblCellMar>
        <w:top w:w="0" w:type="dxa"/>
        <w:left w:w="108" w:type="dxa"/>
        <w:bottom w:w="0" w:type="dxa"/>
        <w:right w:w="108" w:type="dxa"/>
      </w:tblCellMar>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02">
    <w:name w:val="Medium List 2 Accent 4"/>
    <w:basedOn w:val="11"/>
    <w:qFormat/>
    <w:uiPriority w:val="66"/>
    <w:rPr>
      <w:rFonts w:hAnsi="Symbol" w:eastAsia="黑体"/>
      <w:color w:val="000000"/>
    </w:rPr>
    <w:tblPr>
      <w:tblBorders>
        <w:top w:val="single" w:color="8064A2" w:sz="8" w:space="0"/>
        <w:left w:val="single" w:color="8064A2" w:sz="8" w:space="0"/>
        <w:bottom w:val="single" w:color="8064A2" w:sz="8" w:space="0"/>
        <w:right w:val="single" w:color="8064A2" w:sz="8" w:space="0"/>
      </w:tblBorders>
      <w:tblCellMar>
        <w:top w:w="0" w:type="dxa"/>
        <w:left w:w="108" w:type="dxa"/>
        <w:bottom w:w="0" w:type="dxa"/>
        <w:right w:w="108" w:type="dxa"/>
      </w:tblCellMar>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03">
    <w:name w:val="Medium List 2 Accent 5"/>
    <w:basedOn w:val="11"/>
    <w:qFormat/>
    <w:uiPriority w:val="66"/>
    <w:rPr>
      <w:rFonts w:hAnsi="Symbol" w:eastAsia="黑体"/>
      <w:color w:val="000000"/>
    </w:rPr>
    <w:tblPr>
      <w:tblBorders>
        <w:top w:val="single" w:color="4BACC6" w:sz="8" w:space="0"/>
        <w:left w:val="single" w:color="4BACC6" w:sz="8" w:space="0"/>
        <w:bottom w:val="single" w:color="4BACC6" w:sz="8" w:space="0"/>
        <w:right w:val="single" w:color="4BACC6" w:sz="8" w:space="0"/>
      </w:tblBorders>
      <w:tblCellMar>
        <w:top w:w="0" w:type="dxa"/>
        <w:left w:w="108" w:type="dxa"/>
        <w:bottom w:w="0" w:type="dxa"/>
        <w:right w:w="108" w:type="dxa"/>
      </w:tblCellMar>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04">
    <w:name w:val="Medium List 2 Accent 6"/>
    <w:basedOn w:val="11"/>
    <w:qFormat/>
    <w:uiPriority w:val="66"/>
    <w:rPr>
      <w:rFonts w:hAnsi="Symbol" w:eastAsia="黑体"/>
      <w:color w:val="000000"/>
    </w:rPr>
    <w:tblPr>
      <w:tblBorders>
        <w:top w:val="single" w:color="F79646" w:sz="8" w:space="0"/>
        <w:left w:val="single" w:color="F79646" w:sz="8" w:space="0"/>
        <w:bottom w:val="single" w:color="F79646" w:sz="8" w:space="0"/>
        <w:right w:val="single" w:color="F79646" w:sz="8" w:space="0"/>
      </w:tblBorders>
      <w:tblCellMar>
        <w:top w:w="0" w:type="dxa"/>
        <w:left w:w="108" w:type="dxa"/>
        <w:bottom w:w="0" w:type="dxa"/>
        <w:right w:w="108" w:type="dxa"/>
      </w:tblCellMar>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105">
    <w:name w:val="Medium Grid 1"/>
    <w:basedOn w:val="11"/>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06">
    <w:name w:val="Medium Grid 1 Accent 1"/>
    <w:basedOn w:val="11"/>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07">
    <w:name w:val="Medium Grid 1 Accent 2"/>
    <w:basedOn w:val="11"/>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08">
    <w:name w:val="Medium Grid 1 Accent 3"/>
    <w:basedOn w:val="11"/>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09">
    <w:name w:val="Medium Grid 1 Accent 4"/>
    <w:basedOn w:val="11"/>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110">
    <w:name w:val="Medium Grid 1 Accent 5"/>
    <w:basedOn w:val="11"/>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11">
    <w:name w:val="Medium Grid 1 Accent 6"/>
    <w:basedOn w:val="11"/>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112">
    <w:name w:val="Medium Grid 2"/>
    <w:basedOn w:val="11"/>
    <w:qFormat/>
    <w:uiPriority w:val="68"/>
    <w:rPr>
      <w:rFonts w:hAnsi="Symbol" w:eastAsia="黑体"/>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3">
    <w:name w:val="Medium Grid 2 Accent 1"/>
    <w:basedOn w:val="11"/>
    <w:qFormat/>
    <w:uiPriority w:val="68"/>
    <w:rPr>
      <w:rFonts w:hAnsi="Symbol" w:eastAsia="黑体"/>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114">
    <w:name w:val="Medium Grid 2 Accent 2"/>
    <w:basedOn w:val="11"/>
    <w:qFormat/>
    <w:uiPriority w:val="68"/>
    <w:rPr>
      <w:rFonts w:hAnsi="Symbol" w:eastAsia="黑体"/>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115">
    <w:name w:val="Medium Grid 2 Accent 3"/>
    <w:basedOn w:val="11"/>
    <w:qFormat/>
    <w:uiPriority w:val="68"/>
    <w:rPr>
      <w:rFonts w:hAnsi="Symbol" w:eastAsia="黑体"/>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116">
    <w:name w:val="Medium Grid 2 Accent 4"/>
    <w:basedOn w:val="11"/>
    <w:qFormat/>
    <w:uiPriority w:val="68"/>
    <w:rPr>
      <w:rFonts w:hAnsi="Symbol" w:eastAsia="黑体"/>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117">
    <w:name w:val="Medium Grid 2 Accent 5"/>
    <w:basedOn w:val="11"/>
    <w:qFormat/>
    <w:uiPriority w:val="68"/>
    <w:rPr>
      <w:rFonts w:hAnsi="Symbol" w:eastAsia="黑体"/>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118">
    <w:name w:val="Medium Grid 2 Accent 6"/>
    <w:basedOn w:val="11"/>
    <w:qFormat/>
    <w:uiPriority w:val="68"/>
    <w:rPr>
      <w:rFonts w:hAnsi="Symbol" w:eastAsia="黑体"/>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119">
    <w:name w:val="Medium Grid 3"/>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20">
    <w:name w:val="Medium Grid 3 Accent 1"/>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121">
    <w:name w:val="Medium Grid 3 Accent 2"/>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122">
    <w:name w:val="Medium Grid 3 Accent 3"/>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123">
    <w:name w:val="Medium Grid 3 Accent 4"/>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124">
    <w:name w:val="Medium Grid 3 Accent 5"/>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125">
    <w:name w:val="Medium Grid 3 Accent 6"/>
    <w:basedOn w:val="1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126">
    <w:name w:val="Dark List"/>
    <w:basedOn w:val="11"/>
    <w:qFormat/>
    <w:uiPriority w:val="70"/>
    <w:rPr>
      <w:color w:val="FFFFFF"/>
    </w:rPr>
    <w:tblPr>
      <w:tblCellMar>
        <w:top w:w="0" w:type="dxa"/>
        <w:left w:w="108" w:type="dxa"/>
        <w:bottom w:w="0" w:type="dxa"/>
        <w:right w:w="108" w:type="dxa"/>
      </w:tblCellMar>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7">
    <w:name w:val="Dark List Accent 1"/>
    <w:basedOn w:val="11"/>
    <w:qFormat/>
    <w:uiPriority w:val="70"/>
    <w:rPr>
      <w:color w:val="FFFFFF"/>
    </w:rPr>
    <w:tblPr>
      <w:tblCellMar>
        <w:top w:w="0" w:type="dxa"/>
        <w:left w:w="108" w:type="dxa"/>
        <w:bottom w:w="0" w:type="dxa"/>
        <w:right w:w="108" w:type="dxa"/>
      </w:tblCellMar>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128">
    <w:name w:val="Dark List Accent 2"/>
    <w:basedOn w:val="11"/>
    <w:qFormat/>
    <w:uiPriority w:val="70"/>
    <w:rPr>
      <w:color w:val="FFFFFF"/>
    </w:rPr>
    <w:tblPr>
      <w:tblCellMar>
        <w:top w:w="0" w:type="dxa"/>
        <w:left w:w="108" w:type="dxa"/>
        <w:bottom w:w="0" w:type="dxa"/>
        <w:right w:w="108" w:type="dxa"/>
      </w:tblCellMar>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129">
    <w:name w:val="Dark List Accent 3"/>
    <w:basedOn w:val="11"/>
    <w:qFormat/>
    <w:uiPriority w:val="70"/>
    <w:rPr>
      <w:color w:val="FFFFFF"/>
    </w:rPr>
    <w:tblPr>
      <w:tblCellMar>
        <w:top w:w="0" w:type="dxa"/>
        <w:left w:w="108" w:type="dxa"/>
        <w:bottom w:w="0" w:type="dxa"/>
        <w:right w:w="108" w:type="dxa"/>
      </w:tblCellMar>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130">
    <w:name w:val="Dark List Accent 4"/>
    <w:basedOn w:val="11"/>
    <w:qFormat/>
    <w:uiPriority w:val="70"/>
    <w:rPr>
      <w:color w:val="FFFFFF"/>
    </w:rPr>
    <w:tblPr>
      <w:tblCellMar>
        <w:top w:w="0" w:type="dxa"/>
        <w:left w:w="108" w:type="dxa"/>
        <w:bottom w:w="0" w:type="dxa"/>
        <w:right w:w="108" w:type="dxa"/>
      </w:tblCellMar>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131">
    <w:name w:val="Dark List Accent 5"/>
    <w:basedOn w:val="11"/>
    <w:qFormat/>
    <w:uiPriority w:val="70"/>
    <w:rPr>
      <w:color w:val="FFFFFF"/>
    </w:rPr>
    <w:tblPr>
      <w:tblCellMar>
        <w:top w:w="0" w:type="dxa"/>
        <w:left w:w="108" w:type="dxa"/>
        <w:bottom w:w="0" w:type="dxa"/>
        <w:right w:w="108" w:type="dxa"/>
      </w:tblCellMar>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132">
    <w:name w:val="Dark List Accent 6"/>
    <w:basedOn w:val="11"/>
    <w:qFormat/>
    <w:uiPriority w:val="70"/>
    <w:rPr>
      <w:color w:val="FFFFFF"/>
    </w:rPr>
    <w:tblPr>
      <w:tblCellMar>
        <w:top w:w="0" w:type="dxa"/>
        <w:left w:w="108" w:type="dxa"/>
        <w:bottom w:w="0" w:type="dxa"/>
        <w:right w:w="108" w:type="dxa"/>
      </w:tblCellMar>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3">
    <w:name w:val="Colorful Shading"/>
    <w:basedOn w:val="11"/>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CellMar>
        <w:top w:w="0" w:type="dxa"/>
        <w:left w:w="108" w:type="dxa"/>
        <w:bottom w:w="0" w:type="dxa"/>
        <w:right w:w="108" w:type="dxa"/>
      </w:tblCellMar>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4">
    <w:name w:val="Colorful Shading Accent 1"/>
    <w:basedOn w:val="11"/>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CellMar>
        <w:top w:w="0" w:type="dxa"/>
        <w:left w:w="108" w:type="dxa"/>
        <w:bottom w:w="0" w:type="dxa"/>
        <w:right w:w="108" w:type="dxa"/>
      </w:tblCellMar>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135">
    <w:name w:val="Colorful Shading Accent 2"/>
    <w:basedOn w:val="11"/>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136">
    <w:name w:val="Colorful Shading Accent 3"/>
    <w:basedOn w:val="11"/>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CellMar>
        <w:top w:w="0" w:type="dxa"/>
        <w:left w:w="108" w:type="dxa"/>
        <w:bottom w:w="0" w:type="dxa"/>
        <w:right w:w="108" w:type="dxa"/>
      </w:tblCellMar>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37">
    <w:name w:val="Colorful Shading Accent 4"/>
    <w:basedOn w:val="11"/>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CellMar>
        <w:top w:w="0" w:type="dxa"/>
        <w:left w:w="108" w:type="dxa"/>
        <w:bottom w:w="0" w:type="dxa"/>
        <w:right w:w="108" w:type="dxa"/>
      </w:tblCellMar>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138">
    <w:name w:val="Colorful Shading Accent 5"/>
    <w:basedOn w:val="11"/>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CellMar>
        <w:top w:w="0" w:type="dxa"/>
        <w:left w:w="108" w:type="dxa"/>
        <w:bottom w:w="0" w:type="dxa"/>
        <w:right w:w="108" w:type="dxa"/>
      </w:tblCellMar>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139">
    <w:name w:val="Colorful Shading Accent 6"/>
    <w:basedOn w:val="11"/>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CellMar>
        <w:top w:w="0" w:type="dxa"/>
        <w:left w:w="108" w:type="dxa"/>
        <w:bottom w:w="0" w:type="dxa"/>
        <w:right w:w="108" w:type="dxa"/>
      </w:tblCellMar>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140">
    <w:name w:val="Colorful List"/>
    <w:basedOn w:val="11"/>
    <w:qFormat/>
    <w:uiPriority w:val="72"/>
    <w:rPr>
      <w:color w:val="000000"/>
    </w:rPr>
    <w:tblPr>
      <w:tblCellMar>
        <w:top w:w="0" w:type="dxa"/>
        <w:left w:w="108" w:type="dxa"/>
        <w:bottom w:w="0" w:type="dxa"/>
        <w:right w:w="108" w:type="dxa"/>
      </w:tblCellMar>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1">
    <w:name w:val="Colorful List Accent 1"/>
    <w:basedOn w:val="11"/>
    <w:qFormat/>
    <w:uiPriority w:val="72"/>
    <w:rPr>
      <w:color w:val="000000"/>
    </w:rPr>
    <w:tblPr>
      <w:tblCellMar>
        <w:top w:w="0" w:type="dxa"/>
        <w:left w:w="108" w:type="dxa"/>
        <w:bottom w:w="0" w:type="dxa"/>
        <w:right w:w="108" w:type="dxa"/>
      </w:tblCellMar>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42">
    <w:name w:val="Colorful List Accent 2"/>
    <w:basedOn w:val="11"/>
    <w:qFormat/>
    <w:uiPriority w:val="72"/>
    <w:rPr>
      <w:color w:val="000000"/>
    </w:rPr>
    <w:tblPr>
      <w:tblCellMar>
        <w:top w:w="0" w:type="dxa"/>
        <w:left w:w="108" w:type="dxa"/>
        <w:bottom w:w="0" w:type="dxa"/>
        <w:right w:w="108" w:type="dxa"/>
      </w:tblCellMar>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143">
    <w:name w:val="Colorful List Accent 3"/>
    <w:basedOn w:val="11"/>
    <w:qFormat/>
    <w:uiPriority w:val="72"/>
    <w:rPr>
      <w:color w:val="000000"/>
    </w:rPr>
    <w:tblPr>
      <w:tblCellMar>
        <w:top w:w="0" w:type="dxa"/>
        <w:left w:w="108" w:type="dxa"/>
        <w:bottom w:w="0" w:type="dxa"/>
        <w:right w:w="108" w:type="dxa"/>
      </w:tblCellMar>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144">
    <w:name w:val="Colorful List Accent 4"/>
    <w:basedOn w:val="11"/>
    <w:qFormat/>
    <w:uiPriority w:val="72"/>
    <w:rPr>
      <w:color w:val="000000"/>
    </w:rPr>
    <w:tblPr>
      <w:tblCellMar>
        <w:top w:w="0" w:type="dxa"/>
        <w:left w:w="108" w:type="dxa"/>
        <w:bottom w:w="0" w:type="dxa"/>
        <w:right w:w="108" w:type="dxa"/>
      </w:tblCellMar>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145">
    <w:name w:val="Colorful List Accent 5"/>
    <w:basedOn w:val="11"/>
    <w:qFormat/>
    <w:uiPriority w:val="72"/>
    <w:rPr>
      <w:color w:val="000000"/>
    </w:rPr>
    <w:tblPr>
      <w:tblCellMar>
        <w:top w:w="0" w:type="dxa"/>
        <w:left w:w="108" w:type="dxa"/>
        <w:bottom w:w="0" w:type="dxa"/>
        <w:right w:w="108" w:type="dxa"/>
      </w:tblCellMar>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146">
    <w:name w:val="Colorful List Accent 6"/>
    <w:basedOn w:val="11"/>
    <w:qFormat/>
    <w:uiPriority w:val="72"/>
    <w:rPr>
      <w:color w:val="000000"/>
    </w:rPr>
    <w:tblPr>
      <w:tblCellMar>
        <w:top w:w="0" w:type="dxa"/>
        <w:left w:w="108" w:type="dxa"/>
        <w:bottom w:w="0" w:type="dxa"/>
        <w:right w:w="108" w:type="dxa"/>
      </w:tblCellMar>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147">
    <w:name w:val="Colorful Grid"/>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8">
    <w:name w:val="Colorful Grid Accent 1"/>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2"/>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150">
    <w:name w:val="Colorful Grid Accent 3"/>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151">
    <w:name w:val="Colorful Grid Accent 4"/>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152">
    <w:name w:val="Colorful Grid Accent 5"/>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153">
    <w:name w:val="Colorful Grid Accent 6"/>
    <w:basedOn w:val="11"/>
    <w:qFormat/>
    <w:uiPriority w:val="73"/>
    <w:rPr>
      <w:color w:val="000000"/>
    </w:rPr>
    <w:tblPr>
      <w:tblBorders>
        <w:insideH w:val="single" w:color="FFFFFF" w:sz="4" w:space="0"/>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155">
    <w:name w:val="Strong"/>
    <w:basedOn w:val="154"/>
    <w:qFormat/>
    <w:uiPriority w:val="22"/>
    <w:rPr>
      <w:rFonts w:ascii="Times New Roman"/>
      <w:b/>
    </w:rPr>
  </w:style>
  <w:style w:type="character" w:styleId="156">
    <w:name w:val="endnote reference"/>
    <w:basedOn w:val="154"/>
    <w:semiHidden/>
    <w:unhideWhenUsed/>
    <w:qFormat/>
    <w:uiPriority w:val="99"/>
    <w:rPr>
      <w:rFonts w:ascii="Times New Roman"/>
      <w:vertAlign w:val="superscript"/>
    </w:rPr>
  </w:style>
  <w:style w:type="character" w:styleId="157">
    <w:name w:val="page number"/>
    <w:basedOn w:val="154"/>
    <w:qFormat/>
    <w:uiPriority w:val="0"/>
    <w:rPr>
      <w:rFonts w:ascii="Times New Roman" w:hAnsi="Times New Roman" w:eastAsia="宋体" w:cs="Times New Roman"/>
    </w:rPr>
  </w:style>
  <w:style w:type="character" w:styleId="158">
    <w:name w:val="FollowedHyperlink"/>
    <w:basedOn w:val="154"/>
    <w:semiHidden/>
    <w:unhideWhenUsed/>
    <w:qFormat/>
    <w:uiPriority w:val="99"/>
    <w:rPr>
      <w:rFonts w:ascii="Times New Roman"/>
      <w:color w:val="800080"/>
      <w:u w:val="single"/>
    </w:rPr>
  </w:style>
  <w:style w:type="character" w:styleId="159">
    <w:name w:val="Emphasis"/>
    <w:basedOn w:val="154"/>
    <w:qFormat/>
    <w:uiPriority w:val="20"/>
    <w:rPr>
      <w:rFonts w:ascii="Times New Roman"/>
      <w:i/>
    </w:rPr>
  </w:style>
  <w:style w:type="character" w:styleId="160">
    <w:name w:val="line number"/>
    <w:basedOn w:val="154"/>
    <w:qFormat/>
    <w:uiPriority w:val="0"/>
    <w:rPr>
      <w:rFonts w:ascii="Times New Roman" w:hAnsi="Times New Roman" w:eastAsia="宋体" w:cs="Times New Roman"/>
    </w:rPr>
  </w:style>
  <w:style w:type="character" w:styleId="161">
    <w:name w:val="HTML Definition"/>
    <w:basedOn w:val="154"/>
    <w:semiHidden/>
    <w:unhideWhenUsed/>
    <w:qFormat/>
    <w:uiPriority w:val="99"/>
    <w:rPr>
      <w:rFonts w:ascii="Times New Roman"/>
      <w:i/>
    </w:rPr>
  </w:style>
  <w:style w:type="character" w:styleId="162">
    <w:name w:val="HTML Typewriter"/>
    <w:basedOn w:val="154"/>
    <w:semiHidden/>
    <w:unhideWhenUsed/>
    <w:qFormat/>
    <w:uiPriority w:val="99"/>
    <w:rPr>
      <w:rFonts w:ascii="Times New Roman" w:hAnsi="Courier New"/>
      <w:sz w:val="20"/>
    </w:rPr>
  </w:style>
  <w:style w:type="character" w:styleId="163">
    <w:name w:val="HTML Acronym"/>
    <w:basedOn w:val="154"/>
    <w:semiHidden/>
    <w:unhideWhenUsed/>
    <w:qFormat/>
    <w:uiPriority w:val="99"/>
    <w:rPr>
      <w:rFonts w:ascii="Times New Roman"/>
    </w:rPr>
  </w:style>
  <w:style w:type="character" w:styleId="164">
    <w:name w:val="HTML Variable"/>
    <w:basedOn w:val="154"/>
    <w:semiHidden/>
    <w:unhideWhenUsed/>
    <w:qFormat/>
    <w:uiPriority w:val="99"/>
    <w:rPr>
      <w:rFonts w:ascii="Times New Roman"/>
      <w:i/>
    </w:rPr>
  </w:style>
  <w:style w:type="character" w:styleId="165">
    <w:name w:val="Hyperlink"/>
    <w:basedOn w:val="154"/>
    <w:semiHidden/>
    <w:unhideWhenUsed/>
    <w:qFormat/>
    <w:uiPriority w:val="99"/>
    <w:rPr>
      <w:rFonts w:ascii="Times New Roman"/>
      <w:color w:val="0000FF"/>
      <w:u w:val="single"/>
    </w:rPr>
  </w:style>
  <w:style w:type="character" w:styleId="166">
    <w:name w:val="HTML Code"/>
    <w:basedOn w:val="154"/>
    <w:semiHidden/>
    <w:unhideWhenUsed/>
    <w:qFormat/>
    <w:uiPriority w:val="99"/>
    <w:rPr>
      <w:rFonts w:ascii="Times New Roman" w:hAnsi="Courier New"/>
      <w:sz w:val="20"/>
    </w:rPr>
  </w:style>
  <w:style w:type="character" w:styleId="167">
    <w:name w:val="annotation reference"/>
    <w:basedOn w:val="154"/>
    <w:semiHidden/>
    <w:unhideWhenUsed/>
    <w:qFormat/>
    <w:uiPriority w:val="99"/>
    <w:rPr>
      <w:rFonts w:ascii="Times New Roman"/>
      <w:sz w:val="21"/>
    </w:rPr>
  </w:style>
  <w:style w:type="character" w:styleId="168">
    <w:name w:val="HTML Cite"/>
    <w:basedOn w:val="154"/>
    <w:semiHidden/>
    <w:unhideWhenUsed/>
    <w:qFormat/>
    <w:uiPriority w:val="99"/>
    <w:rPr>
      <w:rFonts w:ascii="Times New Roman"/>
      <w:i/>
    </w:rPr>
  </w:style>
  <w:style w:type="character" w:styleId="169">
    <w:name w:val="footnote reference"/>
    <w:basedOn w:val="154"/>
    <w:semiHidden/>
    <w:unhideWhenUsed/>
    <w:qFormat/>
    <w:uiPriority w:val="99"/>
    <w:rPr>
      <w:rFonts w:ascii="Times New Roman"/>
      <w:vertAlign w:val="superscript"/>
    </w:rPr>
  </w:style>
  <w:style w:type="character" w:styleId="170">
    <w:name w:val="HTML Keyboard"/>
    <w:basedOn w:val="154"/>
    <w:semiHidden/>
    <w:unhideWhenUsed/>
    <w:qFormat/>
    <w:uiPriority w:val="99"/>
    <w:rPr>
      <w:rFonts w:ascii="Times New Roman" w:hAnsi="Courier New"/>
      <w:sz w:val="20"/>
    </w:rPr>
  </w:style>
  <w:style w:type="character" w:styleId="171">
    <w:name w:val="HTML Sample"/>
    <w:basedOn w:val="154"/>
    <w:semiHidden/>
    <w:unhideWhenUsed/>
    <w:qFormat/>
    <w:uiPriority w:val="99"/>
    <w:rPr>
      <w:rFonts w:ascii="Times New Roman" w:hAnsi="Courier New"/>
    </w:rPr>
  </w:style>
  <w:style w:type="paragraph" w:customStyle="1" w:styleId="172">
    <w:name w:val="Char"/>
    <w:basedOn w:val="173"/>
    <w:qFormat/>
    <w:uiPriority w:val="99"/>
    <w:pPr>
      <w:widowControl/>
      <w:spacing w:after="160" w:line="240" w:lineRule="exact"/>
    </w:pPr>
  </w:style>
  <w:style w:type="paragraph" w:customStyle="1" w:styleId="173">
    <w:name w:val="正文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174">
    <w:name w:val="居中"/>
    <w:basedOn w:val="1"/>
    <w:qFormat/>
    <w:uiPriority w:val="0"/>
    <w:pPr>
      <w:numPr>
        <w:ilvl w:val="0"/>
        <w:numId w:val="1"/>
      </w:numPr>
      <w:spacing w:line="240" w:lineRule="atLeast"/>
    </w:pPr>
    <w:rPr>
      <w:rFonts w:hint="default"/>
      <w:szCs w:val="20"/>
    </w:rPr>
  </w:style>
  <w:style w:type="character" w:customStyle="1" w:styleId="175">
    <w:name w:val="font61"/>
    <w:basedOn w:val="154"/>
    <w:qFormat/>
    <w:uiPriority w:val="0"/>
    <w:rPr>
      <w:rFonts w:ascii="宋体" w:hAnsi="宋体" w:eastAsia="宋体" w:cs="宋体"/>
      <w:b/>
      <w:bCs/>
      <w:color w:val="000000"/>
      <w:sz w:val="28"/>
      <w:szCs w:val="28"/>
      <w:u w:val="none"/>
    </w:rPr>
  </w:style>
  <w:style w:type="character" w:customStyle="1" w:styleId="176">
    <w:name w:val="font51"/>
    <w:basedOn w:val="154"/>
    <w:qFormat/>
    <w:uiPriority w:val="0"/>
    <w:rPr>
      <w:rFonts w:ascii="宋体" w:hAnsi="宋体" w:eastAsia="宋体" w:cs="宋体"/>
      <w:b/>
      <w:bCs/>
      <w:color w:val="000000"/>
      <w:sz w:val="28"/>
      <w:szCs w:val="28"/>
      <w:u w:val="none"/>
    </w:rPr>
  </w:style>
  <w:style w:type="character" w:customStyle="1" w:styleId="177">
    <w:name w:val="font21"/>
    <w:basedOn w:val="154"/>
    <w:qFormat/>
    <w:uiPriority w:val="0"/>
    <w:rPr>
      <w:rFonts w:hint="default" w:ascii="Times New Roman" w:hAnsi="Times New Roman" w:cs="Times New Roman"/>
      <w:color w:val="000000"/>
      <w:sz w:val="22"/>
      <w:szCs w:val="22"/>
      <w:u w:val="none"/>
    </w:rPr>
  </w:style>
  <w:style w:type="character" w:customStyle="1" w:styleId="178">
    <w:name w:val="font151"/>
    <w:basedOn w:val="154"/>
    <w:qFormat/>
    <w:uiPriority w:val="0"/>
    <w:rPr>
      <w:rFonts w:hint="eastAsia" w:ascii="宋体" w:hAnsi="宋体" w:eastAsia="宋体" w:cs="宋体"/>
      <w:color w:val="000000"/>
      <w:sz w:val="22"/>
      <w:szCs w:val="22"/>
      <w:u w:val="none"/>
    </w:rPr>
  </w:style>
  <w:style w:type="character" w:customStyle="1" w:styleId="179">
    <w:name w:val="font91"/>
    <w:basedOn w:val="154"/>
    <w:qFormat/>
    <w:uiPriority w:val="0"/>
    <w:rPr>
      <w:rFonts w:hint="default" w:ascii="Times New Roman" w:hAnsi="Times New Roman" w:cs="Times New Roman"/>
      <w:color w:val="000000"/>
      <w:sz w:val="18"/>
      <w:szCs w:val="18"/>
      <w:u w:val="none"/>
    </w:rPr>
  </w:style>
  <w:style w:type="character" w:customStyle="1" w:styleId="180">
    <w:name w:val="font71"/>
    <w:basedOn w:val="154"/>
    <w:qFormat/>
    <w:uiPriority w:val="0"/>
    <w:rPr>
      <w:rFonts w:hint="eastAsia" w:ascii="宋体" w:hAnsi="宋体" w:eastAsia="宋体" w:cs="宋体"/>
      <w:color w:val="000000"/>
      <w:sz w:val="18"/>
      <w:szCs w:val="18"/>
      <w:u w:val="none"/>
    </w:rPr>
  </w:style>
  <w:style w:type="character" w:customStyle="1" w:styleId="181">
    <w:name w:val="font111"/>
    <w:basedOn w:val="154"/>
    <w:qFormat/>
    <w:uiPriority w:val="0"/>
    <w:rPr>
      <w:rFonts w:hint="eastAsia" w:ascii="宋体" w:hAnsi="宋体" w:eastAsia="宋体" w:cs="宋体"/>
      <w:color w:val="000000"/>
      <w:sz w:val="18"/>
      <w:szCs w:val="18"/>
      <w:u w:val="none"/>
    </w:rPr>
  </w:style>
  <w:style w:type="character" w:customStyle="1" w:styleId="182">
    <w:name w:val="font161"/>
    <w:basedOn w:val="154"/>
    <w:qFormat/>
    <w:uiPriority w:val="0"/>
    <w:rPr>
      <w:rFonts w:hint="eastAsia" w:ascii="宋体" w:hAnsi="宋体" w:eastAsia="宋体" w:cs="宋体"/>
      <w:color w:val="000000"/>
      <w:sz w:val="18"/>
      <w:szCs w:val="18"/>
      <w:u w:val="none"/>
    </w:rPr>
  </w:style>
  <w:style w:type="character" w:customStyle="1" w:styleId="183">
    <w:name w:val="font81"/>
    <w:basedOn w:val="154"/>
    <w:qFormat/>
    <w:uiPriority w:val="0"/>
    <w:rPr>
      <w:rFonts w:ascii="宋体" w:hAnsi="宋体" w:eastAsia="宋体" w:cs="宋体"/>
      <w:b/>
      <w:bCs/>
      <w:color w:val="000000"/>
      <w:sz w:val="40"/>
      <w:szCs w:val="40"/>
      <w:u w:val="none"/>
    </w:rPr>
  </w:style>
  <w:style w:type="character" w:customStyle="1" w:styleId="184">
    <w:name w:val="font31"/>
    <w:basedOn w:val="154"/>
    <w:qFormat/>
    <w:uiPriority w:val="0"/>
    <w:rPr>
      <w:rFonts w:hint="default" w:ascii="Times New Roman" w:hAnsi="Times New Roman" w:cs="Times New Roman"/>
      <w:color w:val="000000"/>
      <w:sz w:val="22"/>
      <w:szCs w:val="22"/>
      <w:u w:val="none"/>
    </w:rPr>
  </w:style>
  <w:style w:type="character" w:customStyle="1" w:styleId="185">
    <w:name w:val="font41"/>
    <w:basedOn w:val="154"/>
    <w:qFormat/>
    <w:uiPriority w:val="0"/>
    <w:rPr>
      <w:rFonts w:ascii="宋体" w:hAnsi="宋体" w:eastAsia="宋体" w:cs="宋体"/>
      <w:color w:val="000000"/>
      <w:sz w:val="18"/>
      <w:szCs w:val="18"/>
      <w:u w:val="none"/>
    </w:rPr>
  </w:style>
  <w:style w:type="character" w:customStyle="1" w:styleId="186">
    <w:name w:val="font171"/>
    <w:basedOn w:val="154"/>
    <w:qFormat/>
    <w:uiPriority w:val="0"/>
    <w:rPr>
      <w:rFonts w:ascii="宋体" w:hAnsi="宋体" w:eastAsia="宋体" w:cs="宋体"/>
      <w:color w:val="FFFFFF"/>
      <w:sz w:val="18"/>
      <w:szCs w:val="18"/>
      <w:u w:val="none"/>
    </w:rPr>
  </w:style>
  <w:style w:type="character" w:customStyle="1" w:styleId="187">
    <w:name w:val="font112"/>
    <w:basedOn w:val="154"/>
    <w:qFormat/>
    <w:uiPriority w:val="0"/>
    <w:rPr>
      <w:rFonts w:ascii="宋体" w:hAnsi="宋体" w:eastAsia="宋体" w:cs="宋体"/>
      <w:color w:val="FFFFFF"/>
      <w:sz w:val="20"/>
      <w:szCs w:val="20"/>
      <w:u w:val="none"/>
    </w:rPr>
  </w:style>
  <w:style w:type="character" w:customStyle="1" w:styleId="188">
    <w:name w:val="font181"/>
    <w:basedOn w:val="154"/>
    <w:qFormat/>
    <w:uiPriority w:val="0"/>
    <w:rPr>
      <w:rFonts w:hint="default" w:ascii="Times New Roman" w:hAnsi="Times New Roman" w:cs="Times New Roman"/>
      <w:color w:val="FFFFFF"/>
      <w:sz w:val="20"/>
      <w:szCs w:val="20"/>
      <w:u w:val="none"/>
    </w:rPr>
  </w:style>
  <w:style w:type="character" w:customStyle="1" w:styleId="189">
    <w:name w:val="font101"/>
    <w:basedOn w:val="154"/>
    <w:qFormat/>
    <w:uiPriority w:val="0"/>
    <w:rPr>
      <w:rFonts w:ascii="宋体" w:hAnsi="宋体" w:eastAsia="宋体" w:cs="宋体"/>
      <w:color w:val="000000"/>
      <w:sz w:val="20"/>
      <w:szCs w:val="20"/>
      <w:u w:val="none"/>
    </w:rPr>
  </w:style>
  <w:style w:type="character" w:customStyle="1" w:styleId="190">
    <w:name w:val="font191"/>
    <w:basedOn w:val="154"/>
    <w:qFormat/>
    <w:uiPriority w:val="0"/>
    <w:rPr>
      <w:rFonts w:hint="default" w:ascii="Times New Roman" w:hAnsi="Times New Roman" w:cs="Times New Roman"/>
      <w:color w:val="000000"/>
      <w:sz w:val="20"/>
      <w:szCs w:val="20"/>
      <w:u w:val="none"/>
    </w:rPr>
  </w:style>
  <w:style w:type="character" w:customStyle="1" w:styleId="191">
    <w:name w:val="font141"/>
    <w:basedOn w:val="154"/>
    <w:qFormat/>
    <w:uiPriority w:val="0"/>
    <w:rPr>
      <w:rFonts w:hint="eastAsia" w:ascii="宋体" w:hAnsi="宋体" w:eastAsia="宋体" w:cs="宋体"/>
      <w:color w:val="000000"/>
      <w:sz w:val="20"/>
      <w:szCs w:val="20"/>
      <w:u w:val="none"/>
    </w:rPr>
  </w:style>
  <w:style w:type="character" w:customStyle="1" w:styleId="192">
    <w:name w:val="font131"/>
    <w:basedOn w:val="15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1255</Words>
  <Characters>1428</Characters>
  <Lines>36</Lines>
  <Paragraphs>10</Paragraphs>
  <TotalTime>21</TotalTime>
  <ScaleCrop>false</ScaleCrop>
  <LinksUpToDate>false</LinksUpToDate>
  <CharactersWithSpaces>1477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2025-03-20T09:52:00Z</dcterms:created>
  <dc:creator>小米粥</dc:creator>
  <cp:lastModifiedBy>Administrator</cp:lastModifiedBy>
  <cp:lastPrinted>2013-12-31T22:00:24Z</cp:lastPrinted>
  <dcterms:modified xsi:type="dcterms:W3CDTF">2013-12-31T22:40:25Z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B9E6F645BBA84259A39CF32AF8861E79_13</vt:lpwstr>
  </property>
  <property fmtid="{D5CDD505-2E9C-101B-9397-08002B2CF9AE}" pid="4" name="KSOTemplateDocerSaveRecord">
    <vt:lpwstr>eyJoZGlkIjoiZjFmZWIzNDg2MmIzZjExOTIzMmViNTBmYTMwYTk0ZWYiLCJ1c2VySWQiOiI2NzI2Mjg4ODYifQ==</vt:lpwstr>
  </property>
</Properties>
</file>