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方正小标宋_GBK" w:cs="Times New Roman"/>
          <w:b w:val="0"/>
          <w:bCs w:val="0"/>
          <w:color w:val="auto"/>
          <w:sz w:val="44"/>
          <w:szCs w:val="44"/>
          <w:highlight w:val="none"/>
        </w:rPr>
      </w:pPr>
      <w:bookmarkStart w:id="1" w:name="_GoBack"/>
      <w:bookmarkEnd w:id="1"/>
    </w:p>
    <w:p>
      <w:pPr>
        <w:jc w:val="center"/>
        <w:rPr>
          <w:rFonts w:hint="default" w:ascii="Times New Roman" w:hAnsi="Times New Roman" w:eastAsia="方正小标宋_GBK" w:cs="Times New Roman"/>
          <w:b w:val="0"/>
          <w:bCs w:val="0"/>
          <w:color w:val="auto"/>
          <w:sz w:val="44"/>
          <w:szCs w:val="44"/>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color w:val="auto"/>
          <w:sz w:val="44"/>
          <w:szCs w:val="44"/>
          <w:highlight w:val="none"/>
        </w:rPr>
      </w:pPr>
      <w:r>
        <w:rPr>
          <w:rFonts w:hint="eastAsia" w:ascii="方正小标宋_GBK" w:hAnsi="方正小标宋_GBK" w:eastAsia="方正小标宋_GBK" w:cs="方正小标宋_GBK"/>
          <w:b w:val="0"/>
          <w:bCs w:val="0"/>
          <w:color w:val="auto"/>
          <w:sz w:val="44"/>
          <w:szCs w:val="44"/>
          <w:highlight w:val="none"/>
        </w:rPr>
        <w:t>新疆</w:t>
      </w:r>
      <w:r>
        <w:rPr>
          <w:rFonts w:hint="eastAsia" w:ascii="方正小标宋_GBK" w:hAnsi="方正小标宋_GBK" w:eastAsia="方正小标宋_GBK" w:cs="方正小标宋_GBK"/>
          <w:b w:val="0"/>
          <w:bCs w:val="0"/>
          <w:color w:val="auto"/>
          <w:sz w:val="44"/>
          <w:szCs w:val="44"/>
          <w:highlight w:val="none"/>
          <w:lang w:eastAsia="zh-CN"/>
        </w:rPr>
        <w:t>维吾尔自治区</w:t>
      </w:r>
      <w:r>
        <w:rPr>
          <w:rFonts w:hint="eastAsia" w:ascii="方正小标宋_GBK" w:hAnsi="方正小标宋_GBK" w:eastAsia="方正小标宋_GBK" w:cs="方正小标宋_GBK"/>
          <w:b w:val="0"/>
          <w:bCs w:val="0"/>
          <w:color w:val="auto"/>
          <w:sz w:val="44"/>
          <w:szCs w:val="44"/>
          <w:highlight w:val="none"/>
        </w:rPr>
        <w:t>医疗服务与保障能力提升补助资金</w:t>
      </w:r>
      <w:r>
        <w:rPr>
          <w:rFonts w:hint="eastAsia" w:ascii="方正小标宋_GBK" w:hAnsi="方正小标宋_GBK" w:eastAsia="方正小标宋_GBK" w:cs="方正小标宋_GBK"/>
          <w:b w:val="0"/>
          <w:bCs w:val="0"/>
          <w:color w:val="auto"/>
          <w:sz w:val="44"/>
          <w:szCs w:val="44"/>
          <w:highlight w:val="none"/>
          <w:lang w:val="en-US" w:eastAsia="zh-CN"/>
        </w:rPr>
        <w:t>项目</w:t>
      </w:r>
      <w:r>
        <w:rPr>
          <w:rFonts w:hint="eastAsia" w:ascii="方正小标宋_GBK" w:hAnsi="方正小标宋_GBK" w:eastAsia="方正小标宋_GBK" w:cs="方正小标宋_GBK"/>
          <w:b w:val="0"/>
          <w:bCs w:val="0"/>
          <w:color w:val="auto"/>
          <w:sz w:val="44"/>
          <w:szCs w:val="44"/>
          <w:highlight w:val="none"/>
        </w:rPr>
        <w:t>转移支付</w:t>
      </w:r>
      <w:r>
        <w:rPr>
          <w:rFonts w:hint="eastAsia" w:ascii="方正小标宋_GBK" w:hAnsi="方正小标宋_GBK" w:eastAsia="方正小标宋_GBK" w:cs="方正小标宋_GBK"/>
          <w:b w:val="0"/>
          <w:bCs w:val="0"/>
          <w:color w:val="auto"/>
          <w:sz w:val="44"/>
          <w:szCs w:val="44"/>
          <w:highlight w:val="none"/>
          <w:lang w:val="en-US" w:eastAsia="zh-CN"/>
        </w:rPr>
        <w:t>2024年度</w:t>
      </w:r>
      <w:r>
        <w:rPr>
          <w:rFonts w:hint="eastAsia" w:ascii="方正小标宋_GBK" w:hAnsi="方正小标宋_GBK" w:eastAsia="方正小标宋_GBK" w:cs="方正小标宋_GBK"/>
          <w:b w:val="0"/>
          <w:bCs w:val="0"/>
          <w:color w:val="auto"/>
          <w:sz w:val="44"/>
          <w:szCs w:val="44"/>
          <w:highlight w:val="none"/>
        </w:rPr>
        <w:t>绩效自评报告</w:t>
      </w:r>
    </w:p>
    <w:p>
      <w:pPr>
        <w:jc w:val="center"/>
        <w:rPr>
          <w:rFonts w:hint="default" w:ascii="Times New Roman" w:hAnsi="Times New Roman" w:eastAsia="宋体" w:cs="Times New Roman"/>
          <w:b/>
          <w:bCs/>
          <w:color w:val="auto"/>
          <w:sz w:val="44"/>
          <w:szCs w:val="44"/>
          <w:highlight w:val="none"/>
        </w:rPr>
      </w:pPr>
    </w:p>
    <w:p>
      <w:pPr>
        <w:jc w:val="center"/>
        <w:rPr>
          <w:rFonts w:hint="default" w:ascii="Times New Roman" w:hAnsi="Times New Roman" w:eastAsia="宋体" w:cs="Times New Roman"/>
          <w:color w:val="auto"/>
          <w:sz w:val="24"/>
          <w:szCs w:val="24"/>
          <w:highlight w:val="none"/>
        </w:rPr>
      </w:pPr>
    </w:p>
    <w:p>
      <w:pPr>
        <w:jc w:val="both"/>
        <w:rPr>
          <w:rFonts w:hint="default" w:ascii="Times New Roman" w:hAnsi="Times New Roman" w:eastAsia="仿宋_GB2312" w:cs="Times New Roman"/>
          <w:color w:val="auto"/>
          <w:sz w:val="32"/>
          <w:szCs w:val="32"/>
          <w:highlight w:val="none"/>
        </w:rPr>
      </w:pPr>
    </w:p>
    <w:p>
      <w:pPr>
        <w:rPr>
          <w:rFonts w:hint="default" w:ascii="Times New Roman" w:hAnsi="Times New Roman" w:eastAsia="仿宋_GB2312" w:cs="Times New Roman"/>
          <w:color w:val="auto"/>
          <w:sz w:val="28"/>
          <w:szCs w:val="28"/>
          <w:highlight w:val="none"/>
        </w:rPr>
      </w:pPr>
    </w:p>
    <w:p>
      <w:pPr>
        <w:rPr>
          <w:rFonts w:hint="default" w:ascii="Times New Roman" w:hAnsi="Times New Roman" w:eastAsia="仿宋_GB2312" w:cs="Times New Roman"/>
          <w:color w:val="auto"/>
          <w:sz w:val="28"/>
          <w:szCs w:val="28"/>
          <w:highlight w:val="none"/>
        </w:rPr>
      </w:pPr>
    </w:p>
    <w:p>
      <w:pPr>
        <w:rPr>
          <w:rFonts w:hint="default" w:ascii="Times New Roman" w:hAnsi="Times New Roman" w:eastAsia="仿宋_GB2312" w:cs="Times New Roman"/>
          <w:color w:val="auto"/>
          <w:sz w:val="28"/>
          <w:szCs w:val="28"/>
          <w:highlight w:val="none"/>
        </w:rPr>
      </w:pPr>
    </w:p>
    <w:p>
      <w:pPr>
        <w:rPr>
          <w:rFonts w:hint="default" w:ascii="Times New Roman" w:hAnsi="Times New Roman" w:eastAsia="仿宋_GB2312" w:cs="Times New Roman"/>
          <w:color w:val="auto"/>
          <w:sz w:val="28"/>
          <w:szCs w:val="28"/>
          <w:highlight w:val="none"/>
        </w:rPr>
      </w:pPr>
    </w:p>
    <w:p>
      <w:pPr>
        <w:rPr>
          <w:rFonts w:hint="default" w:ascii="Times New Roman" w:hAnsi="Times New Roman" w:eastAsia="仿宋_GB2312" w:cs="Times New Roman"/>
          <w:color w:val="auto"/>
          <w:sz w:val="28"/>
          <w:szCs w:val="28"/>
          <w:highlight w:val="none"/>
        </w:rPr>
      </w:pPr>
    </w:p>
    <w:p>
      <w:pPr>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项目名称：</w:t>
      </w:r>
      <w:r>
        <w:rPr>
          <w:rFonts w:hint="default" w:ascii="Times New Roman" w:hAnsi="Times New Roman" w:eastAsia="仿宋_GB2312" w:cs="Times New Roman"/>
          <w:color w:val="auto"/>
          <w:sz w:val="32"/>
          <w:szCs w:val="32"/>
          <w:highlight w:val="none"/>
          <w:lang w:eastAsia="zh-CN"/>
        </w:rPr>
        <w:t>医疗服务与保障能力提升补助资金</w:t>
      </w:r>
    </w:p>
    <w:p>
      <w:pPr>
        <w:ind w:left="2880" w:hanging="2880" w:hangingChars="9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实施</w:t>
      </w:r>
      <w:r>
        <w:rPr>
          <w:rFonts w:hint="default" w:ascii="Times New Roman" w:hAnsi="Times New Roman" w:eastAsia="仿宋_GB2312" w:cs="Times New Roman"/>
          <w:color w:val="auto"/>
          <w:sz w:val="32"/>
          <w:szCs w:val="32"/>
          <w:highlight w:val="none"/>
          <w:lang w:eastAsia="zh-CN"/>
        </w:rPr>
        <w:t>单位（公章）：</w:t>
      </w:r>
      <w:r>
        <w:rPr>
          <w:rFonts w:hint="eastAsia" w:ascii="Times New Roman" w:hAnsi="Times New Roman" w:eastAsia="仿宋_GB2312" w:cs="Times New Roman"/>
          <w:color w:val="auto"/>
          <w:sz w:val="32"/>
          <w:szCs w:val="32"/>
          <w:highlight w:val="none"/>
          <w:lang w:eastAsia="zh-CN"/>
        </w:rPr>
        <w:t>自治区医疗保障局</w:t>
      </w:r>
    </w:p>
    <w:p>
      <w:pPr>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主管部门（公章）：</w:t>
      </w:r>
      <w:r>
        <w:rPr>
          <w:rFonts w:hint="eastAsia" w:ascii="Times New Roman" w:hAnsi="Times New Roman" w:eastAsia="仿宋_GB2312" w:cs="Times New Roman"/>
          <w:color w:val="auto"/>
          <w:sz w:val="32"/>
          <w:szCs w:val="32"/>
          <w:highlight w:val="none"/>
          <w:lang w:eastAsia="zh-CN"/>
        </w:rPr>
        <w:t>自治区医疗保障局</w:t>
      </w:r>
    </w:p>
    <w:p>
      <w:pPr>
        <w:rPr>
          <w:rFonts w:hint="eastAsia"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项目负责人（签章）</w:t>
      </w:r>
      <w:r>
        <w:rPr>
          <w:rFonts w:hint="eastAsia" w:ascii="Times New Roman" w:hAnsi="Times New Roman" w:eastAsia="仿宋_GB2312" w:cs="Times New Roman"/>
          <w:color w:val="auto"/>
          <w:sz w:val="32"/>
          <w:szCs w:val="32"/>
          <w:highlight w:val="none"/>
          <w:lang w:eastAsia="zh-CN"/>
        </w:rPr>
        <w:t>王志华</w:t>
      </w:r>
    </w:p>
    <w:p>
      <w:pPr>
        <w:rPr>
          <w:rFonts w:hint="default" w:ascii="Times New Roman" w:hAnsi="Times New Roman" w:eastAsia="仿宋_GB2312" w:cs="Times New Roman"/>
          <w:color w:val="auto"/>
          <w:sz w:val="32"/>
          <w:szCs w:val="32"/>
          <w:highlight w:val="none"/>
          <w:lang w:eastAsia="zh-CN"/>
        </w:rPr>
        <w:sectPr>
          <w:pgSz w:w="11906" w:h="16838"/>
          <w:pgMar w:top="2098" w:right="1474" w:bottom="1984" w:left="1587" w:header="851" w:footer="992" w:gutter="0"/>
          <w:pgNumType w:fmt="numberInDash"/>
          <w:cols w:space="0" w:num="1"/>
          <w:rtlGutter w:val="0"/>
          <w:docGrid w:type="lines" w:linePitch="312" w:charSpace="0"/>
        </w:sectPr>
      </w:pPr>
      <w:r>
        <w:rPr>
          <w:rFonts w:hint="default" w:ascii="Times New Roman" w:hAnsi="Times New Roman" w:eastAsia="仿宋_GB2312" w:cs="Times New Roman"/>
          <w:color w:val="auto"/>
          <w:sz w:val="32"/>
          <w:szCs w:val="32"/>
          <w:highlight w:val="none"/>
          <w:lang w:eastAsia="zh-CN"/>
        </w:rPr>
        <w:t>填报时间：</w:t>
      </w:r>
      <w:r>
        <w:rPr>
          <w:rFonts w:hint="default" w:ascii="Times New Roman" w:hAnsi="Times New Roman" w:eastAsia="仿宋_GB2312" w:cs="Times New Roman"/>
          <w:color w:val="auto"/>
          <w:sz w:val="32"/>
          <w:szCs w:val="32"/>
          <w:highlight w:val="none"/>
          <w:lang w:val="en-US" w:eastAsia="zh-CN"/>
        </w:rPr>
        <w:t>202</w:t>
      </w:r>
      <w:r>
        <w:rPr>
          <w:rFonts w:hint="default" w:ascii="Times New Roman" w:hAnsi="Times New Roman" w:eastAsia="仿宋_GB2312" w:cs="Times New Roman"/>
          <w:color w:val="auto"/>
          <w:sz w:val="32"/>
          <w:szCs w:val="32"/>
          <w:highlight w:val="none"/>
          <w:lang w:val="en" w:eastAsia="zh-CN"/>
        </w:rPr>
        <w:t>5</w:t>
      </w:r>
      <w:r>
        <w:rPr>
          <w:rFonts w:hint="default" w:ascii="Times New Roman" w:hAnsi="Times New Roman" w:eastAsia="仿宋_GB2312" w:cs="Times New Roman"/>
          <w:color w:val="auto"/>
          <w:sz w:val="32"/>
          <w:szCs w:val="32"/>
          <w:highlight w:val="none"/>
          <w:lang w:eastAsia="zh-CN"/>
        </w:rPr>
        <w:t>年</w:t>
      </w:r>
      <w:r>
        <w:rPr>
          <w:rFonts w:hint="eastAsia"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月</w:t>
      </w:r>
      <w:r>
        <w:rPr>
          <w:rFonts w:hint="default" w:ascii="Times New Roman" w:hAnsi="Times New Roman" w:eastAsia="仿宋_GB2312" w:cs="Times New Roman"/>
          <w:color w:val="auto"/>
          <w:sz w:val="32"/>
          <w:szCs w:val="32"/>
          <w:highlight w:val="none"/>
          <w:lang w:val="en" w:eastAsia="zh-CN"/>
        </w:rPr>
        <w:t>20</w:t>
      </w:r>
      <w:r>
        <w:rPr>
          <w:rFonts w:hint="default" w:ascii="Times New Roman" w:hAnsi="Times New Roman" w:eastAsia="仿宋_GB2312" w:cs="Times New Roman"/>
          <w:color w:val="auto"/>
          <w:sz w:val="32"/>
          <w:szCs w:val="32"/>
          <w:highlight w:val="none"/>
          <w:lang w:eastAsia="zh-CN"/>
        </w:rPr>
        <w:t>日</w:t>
      </w:r>
    </w:p>
    <w:p>
      <w:pPr>
        <w:pStyle w:val="2"/>
        <w:ind w:left="0" w:leftChars="0" w:firstLine="0" w:firstLineChars="0"/>
        <w:rPr>
          <w:rFonts w:hint="default"/>
          <w:color w:val="auto"/>
          <w:highlight w:val="none"/>
          <w:lang w:eastAsia="zh-CN"/>
        </w:rPr>
        <w:sectPr>
          <w:pgSz w:w="11906" w:h="16838"/>
          <w:pgMar w:top="2098" w:right="1474" w:bottom="1984" w:left="1587" w:header="851" w:footer="992" w:gutter="0"/>
          <w:pgNumType w:fmt="numberInDash"/>
          <w:cols w:space="0" w:num="1"/>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方正小标宋_GBK" w:hAnsi="方正小标宋_GBK" w:eastAsia="方正小标宋_GBK" w:cs="方正小标宋_GBK"/>
          <w:snapToGrid/>
          <w:color w:val="auto"/>
          <w:kern w:val="2"/>
          <w:sz w:val="44"/>
          <w:szCs w:val="44"/>
          <w:highlight w:val="none"/>
          <w:lang w:eastAsia="zh-CN"/>
        </w:rPr>
      </w:pPr>
      <w:r>
        <w:rPr>
          <w:rFonts w:hint="eastAsia" w:ascii="方正小标宋_GBK" w:hAnsi="方正小标宋_GBK" w:eastAsia="方正小标宋_GBK" w:cs="方正小标宋_GBK"/>
          <w:snapToGrid/>
          <w:color w:val="auto"/>
          <w:kern w:val="2"/>
          <w:sz w:val="44"/>
          <w:szCs w:val="44"/>
          <w:highlight w:val="none"/>
          <w:lang w:eastAsia="zh-CN"/>
        </w:rPr>
        <w:t>新疆维吾尔自治区医疗服务与保障能力提升补助资金（医疗保障服务能力建设部分）</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default" w:ascii="Times New Roman" w:hAnsi="Times New Roman" w:eastAsia="方正小标宋_GBK" w:cs="Times New Roman"/>
          <w:b w:val="0"/>
          <w:bCs w:val="0"/>
          <w:color w:val="auto"/>
          <w:sz w:val="44"/>
          <w:szCs w:val="44"/>
          <w:highlight w:val="none"/>
        </w:rPr>
      </w:pPr>
      <w:r>
        <w:rPr>
          <w:rFonts w:hint="eastAsia" w:ascii="方正小标宋_GBK" w:hAnsi="方正小标宋_GBK" w:eastAsia="方正小标宋_GBK" w:cs="方正小标宋_GBK"/>
          <w:snapToGrid/>
          <w:color w:val="auto"/>
          <w:kern w:val="2"/>
          <w:sz w:val="44"/>
          <w:szCs w:val="44"/>
          <w:highlight w:val="none"/>
          <w:lang w:eastAsia="zh-CN"/>
        </w:rPr>
        <w:t>2024年度绩效自评报告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方正小标宋_GBK" w:hAnsi="方正小标宋_GBK" w:eastAsia="方正小标宋_GBK" w:cs="方正小标宋_GBK"/>
          <w:snapToGrid/>
          <w:color w:val="auto"/>
          <w:kern w:val="2"/>
          <w:sz w:val="44"/>
          <w:szCs w:val="44"/>
          <w:highlight w:val="none"/>
          <w:lang w:eastAsia="zh-CN"/>
        </w:rPr>
      </w:pPr>
      <w:r>
        <w:rPr>
          <w:rFonts w:hint="default" w:ascii="Times New Roman" w:hAnsi="Times New Roman" w:eastAsia="仿宋_GB2312" w:cs="Times New Roman"/>
          <w:color w:val="auto"/>
          <w:sz w:val="32"/>
          <w:szCs w:val="32"/>
          <w:highlight w:val="none"/>
        </w:rPr>
        <w:t>贯彻落实党中央全面实施预算绩效管理决策部署，根据财政部《关于开展202</w:t>
      </w:r>
      <w:r>
        <w:rPr>
          <w:rFonts w:hint="default" w:ascii="Times New Roman" w:hAnsi="Times New Roman" w:eastAsia="仿宋_GB2312" w:cs="Times New Roman"/>
          <w:color w:val="auto"/>
          <w:sz w:val="32"/>
          <w:szCs w:val="32"/>
          <w:highlight w:val="none"/>
          <w:lang w:val="en" w:eastAsia="zh-CN"/>
        </w:rPr>
        <w:t>4</w:t>
      </w:r>
      <w:r>
        <w:rPr>
          <w:rFonts w:hint="default" w:ascii="Times New Roman" w:hAnsi="Times New Roman" w:eastAsia="仿宋_GB2312" w:cs="Times New Roman"/>
          <w:color w:val="auto"/>
          <w:sz w:val="32"/>
          <w:szCs w:val="32"/>
          <w:highlight w:val="none"/>
        </w:rPr>
        <w:t>年度中央对地方转移支付预算执行情况绩效自评工作的通知》（财监〔</w:t>
      </w:r>
      <w:r>
        <w:rPr>
          <w:rFonts w:hint="default" w:ascii="Times New Roman" w:hAnsi="Times New Roman" w:eastAsia="仿宋_GB2312" w:cs="Times New Roman"/>
          <w:color w:val="auto"/>
          <w:sz w:val="32"/>
          <w:szCs w:val="32"/>
          <w:highlight w:val="none"/>
          <w:lang w:eastAsia="zh-CN"/>
        </w:rPr>
        <w:t>202</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号）要求</w:t>
      </w:r>
      <w:r>
        <w:rPr>
          <w:rFonts w:hint="eastAsia" w:ascii="Times New Roman" w:hAnsi="Times New Roman" w:eastAsia="仿宋_GB2312" w:cs="Times New Roman"/>
          <w:color w:val="auto"/>
          <w:sz w:val="32"/>
          <w:szCs w:val="32"/>
          <w:highlight w:val="none"/>
          <w:lang w:eastAsia="zh-CN"/>
        </w:rPr>
        <w:t>，自治区医疗保障局</w:t>
      </w:r>
      <w:r>
        <w:rPr>
          <w:rFonts w:hint="default" w:ascii="Times New Roman" w:hAnsi="Times New Roman" w:eastAsia="仿宋_GB2312" w:cs="Times New Roman"/>
          <w:color w:val="auto"/>
          <w:sz w:val="32"/>
          <w:szCs w:val="32"/>
          <w:highlight w:val="none"/>
        </w:rPr>
        <w:t>组织开展了202</w:t>
      </w:r>
      <w:r>
        <w:rPr>
          <w:rFonts w:hint="default" w:ascii="Times New Roman" w:hAnsi="Times New Roman" w:eastAsia="仿宋_GB2312" w:cs="Times New Roman"/>
          <w:color w:val="auto"/>
          <w:sz w:val="32"/>
          <w:szCs w:val="32"/>
          <w:highlight w:val="none"/>
          <w:lang w:val="en" w:eastAsia="zh-CN"/>
        </w:rPr>
        <w:t>4</w:t>
      </w:r>
      <w:r>
        <w:rPr>
          <w:rFonts w:hint="default" w:ascii="Times New Roman" w:hAnsi="Times New Roman" w:eastAsia="仿宋_GB2312" w:cs="Times New Roman"/>
          <w:color w:val="auto"/>
          <w:sz w:val="32"/>
          <w:szCs w:val="32"/>
          <w:highlight w:val="none"/>
        </w:rPr>
        <w:t>年度</w:t>
      </w:r>
      <w:r>
        <w:rPr>
          <w:rFonts w:hint="default" w:ascii="Times New Roman" w:hAnsi="Times New Roman" w:eastAsia="仿宋_GB2312" w:cs="Times New Roman"/>
          <w:color w:val="auto"/>
          <w:sz w:val="32"/>
          <w:szCs w:val="32"/>
          <w:highlight w:val="none"/>
          <w:lang w:eastAsia="zh-CN"/>
        </w:rPr>
        <w:t>医疗服务与保障能力提升补助资金</w:t>
      </w:r>
      <w:r>
        <w:rPr>
          <w:rFonts w:hint="default" w:ascii="Times New Roman" w:hAnsi="Times New Roman" w:eastAsia="仿宋_GB2312" w:cs="Times New Roman"/>
          <w:color w:val="auto"/>
          <w:sz w:val="32"/>
          <w:szCs w:val="32"/>
          <w:highlight w:val="none"/>
        </w:rPr>
        <w:t>绩效自评工作，现报告如下：</w:t>
      </w:r>
    </w:p>
    <w:p>
      <w:pPr>
        <w:autoSpaceDE/>
        <w:autoSpaceDN/>
        <w:adjustRightInd/>
        <w:spacing w:line="560" w:lineRule="exact"/>
        <w:ind w:firstLine="930" w:firstLineChars="300"/>
        <w:jc w:val="both"/>
        <w:outlineLvl w:val="0"/>
        <w:rPr>
          <w:rFonts w:ascii="黑体" w:hAnsi="黑体" w:eastAsia="黑体" w:cs="黑体"/>
          <w:color w:val="auto"/>
          <w:spacing w:val="-5"/>
          <w:sz w:val="32"/>
          <w:szCs w:val="32"/>
          <w:highlight w:val="none"/>
          <w:lang w:eastAsia="zh-CN"/>
        </w:rPr>
      </w:pPr>
      <w:r>
        <w:rPr>
          <w:rFonts w:hint="eastAsia" w:ascii="黑体" w:hAnsi="黑体" w:eastAsia="黑体" w:cs="黑体"/>
          <w:color w:val="auto"/>
          <w:spacing w:val="-5"/>
          <w:sz w:val="32"/>
          <w:szCs w:val="32"/>
          <w:highlight w:val="none"/>
          <w:lang w:eastAsia="zh-CN"/>
        </w:rPr>
        <w:t>一、绩效目标分解下达情况</w:t>
      </w:r>
    </w:p>
    <w:p>
      <w:pPr>
        <w:pStyle w:val="7"/>
        <w:numPr>
          <w:ilvl w:val="0"/>
          <w:numId w:val="1"/>
        </w:numPr>
        <w:spacing w:line="560" w:lineRule="exact"/>
        <w:ind w:firstLine="628" w:firstLineChars="200"/>
        <w:rPr>
          <w:rFonts w:ascii="楷体_GB2312" w:hAnsi="楷体_GB2312" w:eastAsia="楷体_GB2312" w:cs="楷体_GB2312"/>
          <w:color w:val="auto"/>
          <w:spacing w:val="-3"/>
          <w:sz w:val="32"/>
          <w:szCs w:val="32"/>
          <w:highlight w:val="none"/>
          <w:lang w:eastAsia="zh-CN"/>
        </w:rPr>
      </w:pPr>
      <w:r>
        <w:rPr>
          <w:rFonts w:hint="eastAsia" w:ascii="楷体_GB2312" w:hAnsi="楷体_GB2312" w:eastAsia="楷体_GB2312" w:cs="楷体_GB2312"/>
          <w:color w:val="auto"/>
          <w:spacing w:val="-3"/>
          <w:sz w:val="32"/>
          <w:szCs w:val="32"/>
          <w:highlight w:val="none"/>
          <w:lang w:eastAsia="zh-CN"/>
        </w:rPr>
        <w:t>中央下达</w:t>
      </w:r>
      <w:r>
        <w:rPr>
          <w:rFonts w:hint="eastAsia" w:ascii="楷体_GB2312" w:hAnsi="楷体_GB2312" w:eastAsia="楷体_GB2312" w:cs="楷体_GB2312"/>
          <w:color w:val="auto"/>
          <w:spacing w:val="-3"/>
          <w:sz w:val="32"/>
          <w:szCs w:val="32"/>
          <w:highlight w:val="none"/>
          <w:lang w:val="en-US" w:eastAsia="zh-CN"/>
        </w:rPr>
        <w:t>医疗服务与保障能力提升</w:t>
      </w:r>
      <w:r>
        <w:rPr>
          <w:rFonts w:hint="eastAsia" w:ascii="楷体_GB2312" w:hAnsi="楷体_GB2312" w:eastAsia="楷体_GB2312" w:cs="楷体_GB2312"/>
          <w:color w:val="auto"/>
          <w:spacing w:val="-3"/>
          <w:sz w:val="32"/>
          <w:szCs w:val="32"/>
          <w:highlight w:val="none"/>
          <w:lang w:eastAsia="zh-CN"/>
        </w:rPr>
        <w:t>补助资金转移支付预算和区域绩效目标情况</w:t>
      </w:r>
    </w:p>
    <w:p>
      <w:pPr>
        <w:pStyle w:val="7"/>
        <w:spacing w:line="560" w:lineRule="exact"/>
        <w:ind w:firstLine="646" w:firstLineChars="200"/>
        <w:jc w:val="both"/>
        <w:rPr>
          <w:rFonts w:ascii="仿宋_GB2312" w:hAnsi="仿宋_GB2312" w:eastAsia="仿宋_GB2312" w:cs="仿宋_GB2312"/>
          <w:b/>
          <w:bCs/>
          <w:color w:val="auto"/>
          <w:spacing w:val="1"/>
          <w:sz w:val="32"/>
          <w:szCs w:val="32"/>
          <w:highlight w:val="none"/>
          <w:lang w:eastAsia="zh-CN"/>
        </w:rPr>
      </w:pPr>
      <w:r>
        <w:rPr>
          <w:rFonts w:hint="eastAsia" w:ascii="仿宋_GB2312" w:hAnsi="仿宋_GB2312" w:eastAsia="仿宋_GB2312" w:cs="仿宋_GB2312"/>
          <w:b/>
          <w:bCs/>
          <w:color w:val="auto"/>
          <w:spacing w:val="1"/>
          <w:sz w:val="32"/>
          <w:szCs w:val="32"/>
          <w:highlight w:val="none"/>
          <w:lang w:eastAsia="zh-CN"/>
        </w:rPr>
        <w:t>1.下达预算情况</w:t>
      </w:r>
    </w:p>
    <w:p>
      <w:pPr>
        <w:pStyle w:val="7"/>
        <w:spacing w:line="560" w:lineRule="exact"/>
        <w:ind w:firstLine="644" w:firstLineChars="200"/>
        <w:jc w:val="both"/>
        <w:rPr>
          <w:rFonts w:ascii="仿宋_GB2312" w:hAnsi="仿宋_GB2312" w:eastAsia="仿宋_GB2312" w:cs="仿宋_GB2312"/>
          <w:color w:val="auto"/>
          <w:spacing w:val="1"/>
          <w:sz w:val="32"/>
          <w:szCs w:val="32"/>
          <w:highlight w:val="none"/>
          <w:lang w:eastAsia="zh-CN"/>
        </w:rPr>
      </w:pPr>
      <w:r>
        <w:rPr>
          <w:rFonts w:hint="eastAsia" w:ascii="仿宋_GB2312" w:hAnsi="仿宋_GB2312" w:eastAsia="仿宋_GB2312" w:cs="仿宋_GB2312"/>
          <w:color w:val="auto"/>
          <w:spacing w:val="1"/>
          <w:sz w:val="32"/>
          <w:szCs w:val="32"/>
          <w:highlight w:val="none"/>
          <w:lang w:eastAsia="zh-CN"/>
        </w:rPr>
        <w:t>财政部分批下达我区2024年中央财政医疗服务与保障能力提升补助资金（医疗保障服务能力建设部分）共计10500万元，用于加强医保能力建设。详细情况如下：</w:t>
      </w:r>
    </w:p>
    <w:p>
      <w:pPr>
        <w:pStyle w:val="7"/>
        <w:spacing w:line="560" w:lineRule="exact"/>
        <w:ind w:firstLine="644" w:firstLineChars="200"/>
        <w:jc w:val="both"/>
        <w:rPr>
          <w:rFonts w:ascii="仿宋_GB2312" w:hAnsi="仿宋_GB2312" w:eastAsia="仿宋_GB2312" w:cs="仿宋_GB2312"/>
          <w:color w:val="auto"/>
          <w:spacing w:val="1"/>
          <w:sz w:val="32"/>
          <w:szCs w:val="32"/>
          <w:highlight w:val="none"/>
          <w:lang w:eastAsia="zh-CN"/>
        </w:rPr>
      </w:pPr>
      <w:r>
        <w:rPr>
          <w:rFonts w:hint="eastAsia" w:ascii="仿宋_GB2312" w:hAnsi="仿宋_GB2312" w:eastAsia="仿宋_GB2312" w:cs="仿宋_GB2312"/>
          <w:color w:val="auto"/>
          <w:spacing w:val="1"/>
          <w:sz w:val="32"/>
          <w:szCs w:val="32"/>
          <w:highlight w:val="none"/>
          <w:lang w:eastAsia="zh-CN"/>
        </w:rPr>
        <w:t>2023年10月</w:t>
      </w:r>
      <w:r>
        <w:rPr>
          <w:rFonts w:hint="eastAsia" w:ascii="仿宋_GB2312" w:hAnsi="仿宋_GB2312" w:eastAsia="仿宋_GB2312" w:cs="仿宋_GB2312"/>
          <w:color w:val="auto"/>
          <w:spacing w:val="1"/>
          <w:sz w:val="32"/>
          <w:szCs w:val="32"/>
          <w:highlight w:val="none"/>
          <w:lang w:val="en-US" w:eastAsia="zh-CN"/>
        </w:rPr>
        <w:t>31日</w:t>
      </w:r>
      <w:r>
        <w:rPr>
          <w:rFonts w:hint="eastAsia" w:ascii="仿宋_GB2312" w:hAnsi="仿宋_GB2312" w:eastAsia="仿宋_GB2312" w:cs="仿宋_GB2312"/>
          <w:color w:val="auto"/>
          <w:spacing w:val="1"/>
          <w:sz w:val="32"/>
          <w:szCs w:val="32"/>
          <w:highlight w:val="none"/>
          <w:lang w:eastAsia="zh-CN"/>
        </w:rPr>
        <w:t>，根据《财政部</w:t>
      </w:r>
      <w:r>
        <w:rPr>
          <w:rFonts w:hint="eastAsia" w:ascii="仿宋_GB2312" w:hAnsi="仿宋_GB2312" w:eastAsia="仿宋_GB2312" w:cs="仿宋_GB2312"/>
          <w:color w:val="auto"/>
          <w:spacing w:val="1"/>
          <w:sz w:val="32"/>
          <w:szCs w:val="32"/>
          <w:highlight w:val="none"/>
          <w:lang w:val="en-US" w:eastAsia="zh-CN"/>
        </w:rPr>
        <w:t xml:space="preserve"> </w:t>
      </w:r>
      <w:r>
        <w:rPr>
          <w:rFonts w:hint="eastAsia" w:ascii="仿宋_GB2312" w:hAnsi="仿宋_GB2312" w:eastAsia="仿宋_GB2312" w:cs="仿宋_GB2312"/>
          <w:color w:val="auto"/>
          <w:spacing w:val="1"/>
          <w:sz w:val="32"/>
          <w:szCs w:val="32"/>
          <w:highlight w:val="none"/>
          <w:lang w:eastAsia="zh-CN"/>
        </w:rPr>
        <w:t>国家医疗保障局关于提前下达2024年中央财政医疗服务与保障能力提升补助资金（医疗保障服务能力建设部分）预算的通知》（财社〔2023〕141号），下达我区第一批医疗服务与保障能力提升补助资金8315万元。</w:t>
      </w:r>
    </w:p>
    <w:p>
      <w:pPr>
        <w:pStyle w:val="7"/>
        <w:spacing w:line="560" w:lineRule="exact"/>
        <w:ind w:firstLine="644" w:firstLineChars="200"/>
        <w:jc w:val="both"/>
        <w:rPr>
          <w:rFonts w:ascii="仿宋_GB2312" w:hAnsi="仿宋_GB2312" w:eastAsia="仿宋_GB2312" w:cs="仿宋_GB2312"/>
          <w:color w:val="auto"/>
          <w:spacing w:val="1"/>
          <w:sz w:val="32"/>
          <w:szCs w:val="32"/>
          <w:highlight w:val="none"/>
          <w:lang w:eastAsia="zh-CN"/>
        </w:rPr>
      </w:pPr>
      <w:r>
        <w:rPr>
          <w:rFonts w:hint="eastAsia" w:ascii="仿宋_GB2312" w:hAnsi="仿宋_GB2312" w:eastAsia="仿宋_GB2312" w:cs="仿宋_GB2312"/>
          <w:color w:val="auto"/>
          <w:spacing w:val="1"/>
          <w:sz w:val="32"/>
          <w:szCs w:val="32"/>
          <w:highlight w:val="none"/>
          <w:lang w:eastAsia="zh-CN"/>
        </w:rPr>
        <w:t>2024年4月</w:t>
      </w:r>
      <w:r>
        <w:rPr>
          <w:rFonts w:hint="eastAsia" w:ascii="仿宋_GB2312" w:hAnsi="仿宋_GB2312" w:eastAsia="仿宋_GB2312" w:cs="仿宋_GB2312"/>
          <w:color w:val="auto"/>
          <w:spacing w:val="1"/>
          <w:sz w:val="32"/>
          <w:szCs w:val="32"/>
          <w:highlight w:val="none"/>
          <w:lang w:val="en-US" w:eastAsia="zh-CN"/>
        </w:rPr>
        <w:t>10日</w:t>
      </w:r>
      <w:r>
        <w:rPr>
          <w:rFonts w:hint="eastAsia" w:ascii="仿宋_GB2312" w:hAnsi="仿宋_GB2312" w:eastAsia="仿宋_GB2312" w:cs="仿宋_GB2312"/>
          <w:color w:val="auto"/>
          <w:spacing w:val="1"/>
          <w:sz w:val="32"/>
          <w:szCs w:val="32"/>
          <w:highlight w:val="none"/>
          <w:lang w:eastAsia="zh-CN"/>
        </w:rPr>
        <w:t>，</w:t>
      </w:r>
      <w:r>
        <w:rPr>
          <w:rFonts w:hint="eastAsia" w:ascii="仿宋_GB2312" w:hAnsi="仿宋_GB2312" w:eastAsia="仿宋_GB2312" w:cs="仿宋_GB2312"/>
          <w:color w:val="auto"/>
          <w:spacing w:val="1"/>
          <w:sz w:val="32"/>
          <w:szCs w:val="32"/>
          <w:highlight w:val="none"/>
          <w:lang w:val="en-US" w:eastAsia="zh-CN"/>
        </w:rPr>
        <w:t>根据</w:t>
      </w:r>
      <w:r>
        <w:rPr>
          <w:rFonts w:hint="eastAsia" w:ascii="仿宋_GB2312" w:hAnsi="仿宋_GB2312" w:eastAsia="仿宋_GB2312" w:cs="仿宋_GB2312"/>
          <w:color w:val="auto"/>
          <w:spacing w:val="1"/>
          <w:sz w:val="32"/>
          <w:szCs w:val="32"/>
          <w:highlight w:val="none"/>
          <w:lang w:eastAsia="zh-CN"/>
        </w:rPr>
        <w:t>《财政部 国家医疗保障局关于下达2024年中央财政医疗服务与保障能力提升补助资金（医疗保障服务能力建设部分）预算的通知》（财社〔2024〕33号），下达我区第二批医疗服务与保障能力提升补助资金2185万元。</w:t>
      </w:r>
    </w:p>
    <w:p>
      <w:pPr>
        <w:pStyle w:val="7"/>
        <w:spacing w:line="560" w:lineRule="exact"/>
        <w:ind w:firstLine="646" w:firstLineChars="200"/>
        <w:jc w:val="both"/>
        <w:rPr>
          <w:rFonts w:ascii="仿宋_GB2312" w:hAnsi="仿宋_GB2312" w:eastAsia="仿宋_GB2312" w:cs="仿宋_GB2312"/>
          <w:b/>
          <w:bCs/>
          <w:color w:val="auto"/>
          <w:spacing w:val="1"/>
          <w:sz w:val="32"/>
          <w:szCs w:val="32"/>
          <w:highlight w:val="none"/>
          <w:lang w:eastAsia="zh-CN"/>
        </w:rPr>
      </w:pPr>
      <w:r>
        <w:rPr>
          <w:rFonts w:hint="eastAsia" w:ascii="仿宋_GB2312" w:hAnsi="仿宋_GB2312" w:eastAsia="仿宋_GB2312" w:cs="仿宋_GB2312"/>
          <w:b/>
          <w:bCs/>
          <w:color w:val="auto"/>
          <w:spacing w:val="1"/>
          <w:sz w:val="32"/>
          <w:szCs w:val="32"/>
          <w:highlight w:val="none"/>
          <w:lang w:eastAsia="zh-CN"/>
        </w:rPr>
        <w:t>2.区域绩效目标情况</w:t>
      </w:r>
    </w:p>
    <w:p>
      <w:pPr>
        <w:pStyle w:val="7"/>
        <w:spacing w:line="560" w:lineRule="exact"/>
        <w:ind w:firstLine="644" w:firstLineChars="200"/>
        <w:jc w:val="both"/>
        <w:rPr>
          <w:rFonts w:ascii="仿宋_GB2312" w:hAnsi="仿宋_GB2312" w:eastAsia="仿宋_GB2312" w:cs="仿宋_GB2312"/>
          <w:color w:val="auto"/>
          <w:spacing w:val="1"/>
          <w:sz w:val="32"/>
          <w:szCs w:val="32"/>
          <w:highlight w:val="none"/>
          <w:lang w:eastAsia="zh-CN"/>
        </w:rPr>
      </w:pPr>
      <w:r>
        <w:rPr>
          <w:rFonts w:hint="eastAsia" w:ascii="仿宋_GB2312" w:hAnsi="仿宋_GB2312" w:eastAsia="仿宋_GB2312" w:cs="仿宋_GB2312"/>
          <w:color w:val="auto"/>
          <w:spacing w:val="1"/>
          <w:sz w:val="32"/>
          <w:szCs w:val="32"/>
          <w:highlight w:val="none"/>
          <w:lang w:val="en-US" w:eastAsia="zh-CN"/>
        </w:rPr>
        <w:t>财政部随文</w:t>
      </w:r>
      <w:r>
        <w:rPr>
          <w:rFonts w:hint="eastAsia" w:ascii="仿宋_GB2312" w:hAnsi="仿宋_GB2312" w:eastAsia="仿宋_GB2312" w:cs="仿宋_GB2312"/>
          <w:color w:val="auto"/>
          <w:spacing w:val="1"/>
          <w:sz w:val="32"/>
          <w:szCs w:val="32"/>
          <w:highlight w:val="none"/>
          <w:lang w:eastAsia="zh-CN"/>
        </w:rPr>
        <w:t>下达</w:t>
      </w:r>
      <w:r>
        <w:rPr>
          <w:rFonts w:hint="eastAsia" w:ascii="仿宋_GB2312" w:hAnsi="仿宋_GB2312" w:eastAsia="仿宋_GB2312" w:cs="仿宋_GB2312"/>
          <w:color w:val="auto"/>
          <w:spacing w:val="1"/>
          <w:sz w:val="32"/>
          <w:szCs w:val="32"/>
          <w:highlight w:val="none"/>
          <w:lang w:val="en-US" w:eastAsia="zh-CN"/>
        </w:rPr>
        <w:t>新疆</w:t>
      </w:r>
      <w:r>
        <w:rPr>
          <w:rFonts w:hint="eastAsia" w:ascii="仿宋_GB2312" w:hAnsi="仿宋_GB2312" w:eastAsia="仿宋_GB2312" w:cs="仿宋_GB2312"/>
          <w:color w:val="auto"/>
          <w:spacing w:val="1"/>
          <w:sz w:val="32"/>
          <w:szCs w:val="32"/>
          <w:highlight w:val="none"/>
          <w:lang w:eastAsia="zh-CN"/>
        </w:rPr>
        <w:t>区域绩效目标如下：</w:t>
      </w:r>
    </w:p>
    <w:p>
      <w:pPr>
        <w:pStyle w:val="7"/>
        <w:spacing w:line="560" w:lineRule="exact"/>
        <w:ind w:firstLine="424" w:firstLineChars="200"/>
        <w:jc w:val="both"/>
        <w:rPr>
          <w:color w:val="auto"/>
          <w:spacing w:val="1"/>
          <w:highlight w:val="none"/>
          <w:lang w:eastAsia="zh-CN"/>
        </w:rPr>
      </w:pPr>
    </w:p>
    <w:tbl>
      <w:tblPr>
        <w:tblStyle w:val="14"/>
        <w:tblW w:w="5000" w:type="pct"/>
        <w:tblInd w:w="0" w:type="dxa"/>
        <w:tblLayout w:type="autofit"/>
        <w:tblCellMar>
          <w:top w:w="0" w:type="dxa"/>
          <w:left w:w="108" w:type="dxa"/>
          <w:bottom w:w="0" w:type="dxa"/>
          <w:right w:w="108" w:type="dxa"/>
        </w:tblCellMar>
      </w:tblPr>
      <w:tblGrid>
        <w:gridCol w:w="723"/>
        <w:gridCol w:w="886"/>
        <w:gridCol w:w="1215"/>
        <w:gridCol w:w="1412"/>
        <w:gridCol w:w="1618"/>
        <w:gridCol w:w="3094"/>
      </w:tblGrid>
      <w:tr>
        <w:tblPrEx>
          <w:tblCellMar>
            <w:top w:w="0" w:type="dxa"/>
            <w:left w:w="108" w:type="dxa"/>
            <w:bottom w:w="0" w:type="dxa"/>
            <w:right w:w="108" w:type="dxa"/>
          </w:tblCellMar>
        </w:tblPrEx>
        <w:trPr>
          <w:trHeight w:val="800" w:hRule="atLeast"/>
        </w:trPr>
        <w:tc>
          <w:tcPr>
            <w:tcW w:w="5000" w:type="pct"/>
            <w:gridSpan w:val="6"/>
            <w:tcBorders>
              <w:top w:val="nil"/>
              <w:left w:val="nil"/>
              <w:bottom w:val="nil"/>
              <w:right w:val="nil"/>
            </w:tcBorders>
            <w:shd w:val="clear" w:color="auto" w:fill="auto"/>
            <w:vAlign w:val="center"/>
          </w:tcPr>
          <w:p>
            <w:pPr>
              <w:jc w:val="center"/>
              <w:textAlignment w:val="center"/>
              <w:rPr>
                <w:rFonts w:ascii="宋体" w:hAnsi="宋体" w:eastAsia="宋体" w:cs="宋体"/>
                <w:b/>
                <w:bCs/>
                <w:color w:val="auto"/>
                <w:sz w:val="32"/>
                <w:szCs w:val="32"/>
                <w:highlight w:val="none"/>
                <w:lang w:eastAsia="zh-CN"/>
              </w:rPr>
            </w:pPr>
            <w:r>
              <w:rPr>
                <w:rFonts w:hint="eastAsia" w:ascii="仿宋_GB2312" w:hAnsi="仿宋_GB2312" w:eastAsia="仿宋_GB2312" w:cs="仿宋_GB2312"/>
                <w:b/>
                <w:bCs/>
                <w:color w:val="auto"/>
                <w:sz w:val="24"/>
                <w:szCs w:val="24"/>
                <w:highlight w:val="none"/>
                <w:lang w:eastAsia="zh-CN"/>
              </w:rPr>
              <w:t>医疗服务与保障能力提升补助资金(医疗保障服务能力建设部分）区域绩效目标表</w:t>
            </w:r>
          </w:p>
        </w:tc>
      </w:tr>
      <w:tr>
        <w:tblPrEx>
          <w:tblCellMar>
            <w:top w:w="0" w:type="dxa"/>
            <w:left w:w="108" w:type="dxa"/>
            <w:bottom w:w="0" w:type="dxa"/>
            <w:right w:w="108" w:type="dxa"/>
          </w:tblCellMar>
        </w:tblPrEx>
        <w:trPr>
          <w:trHeight w:val="280" w:hRule="atLeast"/>
        </w:trPr>
        <w:tc>
          <w:tcPr>
            <w:tcW w:w="5000" w:type="pct"/>
            <w:gridSpan w:val="6"/>
            <w:tcBorders>
              <w:top w:val="nil"/>
              <w:left w:val="nil"/>
              <w:bottom w:val="nil"/>
              <w:right w:val="nil"/>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(2024年度)</w:t>
            </w:r>
          </w:p>
        </w:tc>
      </w:tr>
      <w:tr>
        <w:tblPrEx>
          <w:tblCellMar>
            <w:top w:w="0" w:type="dxa"/>
            <w:left w:w="108" w:type="dxa"/>
            <w:bottom w:w="0" w:type="dxa"/>
            <w:right w:w="108" w:type="dxa"/>
          </w:tblCellMar>
        </w:tblPrEx>
        <w:trPr>
          <w:trHeight w:val="280" w:hRule="atLeast"/>
        </w:trPr>
        <w:tc>
          <w:tcPr>
            <w:tcW w:w="8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项目名称</w:t>
            </w:r>
          </w:p>
        </w:tc>
        <w:tc>
          <w:tcPr>
            <w:tcW w:w="410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2024年医疗服务与保障能力提升补助资金（医疗保障服务能力建设部分）</w:t>
            </w:r>
          </w:p>
        </w:tc>
      </w:tr>
      <w:tr>
        <w:tblPrEx>
          <w:tblCellMar>
            <w:top w:w="0" w:type="dxa"/>
            <w:left w:w="108" w:type="dxa"/>
            <w:bottom w:w="0" w:type="dxa"/>
            <w:right w:w="108" w:type="dxa"/>
          </w:tblCellMar>
        </w:tblPrEx>
        <w:trPr>
          <w:trHeight w:val="280" w:hRule="atLeast"/>
        </w:trPr>
        <w:tc>
          <w:tcPr>
            <w:tcW w:w="8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省份</w:t>
            </w:r>
          </w:p>
        </w:tc>
        <w:tc>
          <w:tcPr>
            <w:tcW w:w="410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新疆维吾尔自治区</w:t>
            </w:r>
          </w:p>
        </w:tc>
      </w:tr>
      <w:tr>
        <w:tblPrEx>
          <w:tblCellMar>
            <w:top w:w="0" w:type="dxa"/>
            <w:left w:w="108" w:type="dxa"/>
            <w:bottom w:w="0" w:type="dxa"/>
            <w:right w:w="108" w:type="dxa"/>
          </w:tblCellMar>
        </w:tblPrEx>
        <w:trPr>
          <w:trHeight w:val="280" w:hRule="atLeast"/>
        </w:trPr>
        <w:tc>
          <w:tcPr>
            <w:tcW w:w="8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省级财政部门</w:t>
            </w:r>
          </w:p>
        </w:tc>
        <w:tc>
          <w:tcPr>
            <w:tcW w:w="410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新疆维吾尔自治区财政厅</w:t>
            </w:r>
          </w:p>
        </w:tc>
      </w:tr>
      <w:tr>
        <w:tblPrEx>
          <w:tblCellMar>
            <w:top w:w="0" w:type="dxa"/>
            <w:left w:w="108" w:type="dxa"/>
            <w:bottom w:w="0" w:type="dxa"/>
            <w:right w:w="108" w:type="dxa"/>
          </w:tblCellMar>
        </w:tblPrEx>
        <w:trPr>
          <w:trHeight w:val="280" w:hRule="atLeast"/>
        </w:trPr>
        <w:tc>
          <w:tcPr>
            <w:tcW w:w="8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省级主管部门</w:t>
            </w:r>
          </w:p>
        </w:tc>
        <w:tc>
          <w:tcPr>
            <w:tcW w:w="410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新疆维吾尔自治区医疗保障局</w:t>
            </w:r>
          </w:p>
        </w:tc>
      </w:tr>
      <w:tr>
        <w:tblPrEx>
          <w:tblCellMar>
            <w:top w:w="0" w:type="dxa"/>
            <w:left w:w="108" w:type="dxa"/>
            <w:bottom w:w="0" w:type="dxa"/>
            <w:right w:w="108" w:type="dxa"/>
          </w:tblCellMar>
        </w:tblPrEx>
        <w:trPr>
          <w:trHeight w:val="280" w:hRule="atLeast"/>
        </w:trPr>
        <w:tc>
          <w:tcPr>
            <w:tcW w:w="89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项目资金</w:t>
            </w:r>
            <w:r>
              <w:rPr>
                <w:rFonts w:hint="eastAsia" w:ascii="仿宋_GB2312" w:hAnsi="仿宋_GB2312" w:eastAsia="仿宋_GB2312" w:cs="仿宋_GB2312"/>
                <w:color w:val="auto"/>
                <w:sz w:val="20"/>
                <w:szCs w:val="20"/>
                <w:highlight w:val="none"/>
                <w:lang w:eastAsia="zh-CN"/>
              </w:rPr>
              <w:br w:type="textWrapping"/>
            </w:r>
            <w:r>
              <w:rPr>
                <w:rFonts w:hint="eastAsia" w:ascii="仿宋_GB2312" w:hAnsi="仿宋_GB2312" w:eastAsia="仿宋_GB2312" w:cs="仿宋_GB2312"/>
                <w:color w:val="auto"/>
                <w:sz w:val="20"/>
                <w:szCs w:val="20"/>
                <w:highlight w:val="none"/>
                <w:lang w:eastAsia="zh-CN"/>
              </w:rPr>
              <w:t>（万元）</w:t>
            </w:r>
          </w:p>
        </w:tc>
        <w:tc>
          <w:tcPr>
            <w:tcW w:w="1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26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全年预算数</w:t>
            </w:r>
          </w:p>
        </w:tc>
      </w:tr>
      <w:tr>
        <w:tblPrEx>
          <w:tblCellMar>
            <w:top w:w="0" w:type="dxa"/>
            <w:left w:w="108" w:type="dxa"/>
            <w:bottom w:w="0" w:type="dxa"/>
            <w:right w:w="108" w:type="dxa"/>
          </w:tblCellMar>
        </w:tblPrEx>
        <w:trPr>
          <w:trHeight w:val="439" w:hRule="atLeast"/>
        </w:trPr>
        <w:tc>
          <w:tcPr>
            <w:tcW w:w="89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年度资金总额</w:t>
            </w:r>
          </w:p>
        </w:tc>
        <w:tc>
          <w:tcPr>
            <w:tcW w:w="26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10500</w:t>
            </w:r>
          </w:p>
        </w:tc>
      </w:tr>
      <w:tr>
        <w:tblPrEx>
          <w:tblCellMar>
            <w:top w:w="0" w:type="dxa"/>
            <w:left w:w="108" w:type="dxa"/>
            <w:bottom w:w="0" w:type="dxa"/>
            <w:right w:w="108" w:type="dxa"/>
          </w:tblCellMar>
        </w:tblPrEx>
        <w:trPr>
          <w:trHeight w:val="439" w:hRule="atLeast"/>
        </w:trPr>
        <w:tc>
          <w:tcPr>
            <w:tcW w:w="89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其中：中央补助</w:t>
            </w:r>
          </w:p>
        </w:tc>
        <w:tc>
          <w:tcPr>
            <w:tcW w:w="26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10500</w:t>
            </w:r>
          </w:p>
        </w:tc>
      </w:tr>
      <w:tr>
        <w:tblPrEx>
          <w:tblCellMar>
            <w:top w:w="0" w:type="dxa"/>
            <w:left w:w="108" w:type="dxa"/>
            <w:bottom w:w="0" w:type="dxa"/>
            <w:right w:w="108" w:type="dxa"/>
          </w:tblCellMar>
        </w:tblPrEx>
        <w:trPr>
          <w:trHeight w:val="439" w:hRule="atLeast"/>
        </w:trPr>
        <w:tc>
          <w:tcPr>
            <w:tcW w:w="89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地方资金</w:t>
            </w:r>
          </w:p>
        </w:tc>
        <w:tc>
          <w:tcPr>
            <w:tcW w:w="26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0</w:t>
            </w:r>
          </w:p>
        </w:tc>
      </w:tr>
      <w:tr>
        <w:tblPrEx>
          <w:tblCellMar>
            <w:top w:w="0" w:type="dxa"/>
            <w:left w:w="108" w:type="dxa"/>
            <w:bottom w:w="0" w:type="dxa"/>
            <w:right w:w="108" w:type="dxa"/>
          </w:tblCellMar>
        </w:tblPrEx>
        <w:trPr>
          <w:trHeight w:val="439" w:hRule="atLeast"/>
        </w:trPr>
        <w:tc>
          <w:tcPr>
            <w:tcW w:w="89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4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其他资金</w:t>
            </w:r>
          </w:p>
        </w:tc>
        <w:tc>
          <w:tcPr>
            <w:tcW w:w="26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0</w:t>
            </w:r>
          </w:p>
        </w:tc>
      </w:tr>
      <w:tr>
        <w:tblPrEx>
          <w:tblCellMar>
            <w:top w:w="0" w:type="dxa"/>
            <w:left w:w="108" w:type="dxa"/>
            <w:bottom w:w="0" w:type="dxa"/>
            <w:right w:w="108" w:type="dxa"/>
          </w:tblCellMar>
        </w:tblPrEx>
        <w:trPr>
          <w:trHeight w:val="997" w:hRule="atLeast"/>
        </w:trPr>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年度总体目标</w:t>
            </w:r>
          </w:p>
        </w:tc>
        <w:tc>
          <w:tcPr>
            <w:tcW w:w="459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有效提升医保信息化标准化、基金监管、经办管理、目录监管水平，推进医保支付方式、药品和医用耗材集中带量采购、医疗服务价格等改革任务。</w:t>
            </w:r>
          </w:p>
        </w:tc>
      </w:tr>
      <w:tr>
        <w:tblPrEx>
          <w:tblCellMar>
            <w:top w:w="0" w:type="dxa"/>
            <w:left w:w="108" w:type="dxa"/>
            <w:bottom w:w="0" w:type="dxa"/>
            <w:right w:w="108" w:type="dxa"/>
          </w:tblCellMar>
        </w:tblPrEx>
        <w:trPr>
          <w:trHeight w:val="280" w:hRule="atLeast"/>
        </w:trPr>
        <w:tc>
          <w:tcPr>
            <w:tcW w:w="4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绩效目标</w:t>
            </w:r>
          </w:p>
        </w:tc>
        <w:tc>
          <w:tcPr>
            <w:tcW w:w="4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一级指标</w:t>
            </w:r>
          </w:p>
        </w:tc>
        <w:tc>
          <w:tcPr>
            <w:tcW w:w="6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二级指标</w:t>
            </w:r>
          </w:p>
        </w:tc>
        <w:tc>
          <w:tcPr>
            <w:tcW w:w="169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三级指标</w:t>
            </w:r>
          </w:p>
        </w:tc>
        <w:tc>
          <w:tcPr>
            <w:tcW w:w="17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年度指标值</w:t>
            </w:r>
          </w:p>
        </w:tc>
      </w:tr>
      <w:tr>
        <w:tblPrEx>
          <w:tblCellMar>
            <w:top w:w="0" w:type="dxa"/>
            <w:left w:w="108" w:type="dxa"/>
            <w:bottom w:w="0" w:type="dxa"/>
            <w:right w:w="108" w:type="dxa"/>
          </w:tblCellMar>
        </w:tblPrEx>
        <w:trPr>
          <w:trHeight w:val="280" w:hRule="atLeast"/>
        </w:trPr>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6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69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7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r>
      <w:tr>
        <w:tblPrEx>
          <w:tblCellMar>
            <w:top w:w="0" w:type="dxa"/>
            <w:left w:w="108" w:type="dxa"/>
            <w:bottom w:w="0" w:type="dxa"/>
            <w:right w:w="108" w:type="dxa"/>
          </w:tblCellMar>
        </w:tblPrEx>
        <w:trPr>
          <w:trHeight w:val="520" w:hRule="atLeast"/>
        </w:trPr>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4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产出目标</w:t>
            </w:r>
          </w:p>
        </w:tc>
        <w:tc>
          <w:tcPr>
            <w:tcW w:w="6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数量指标</w:t>
            </w:r>
          </w:p>
        </w:tc>
        <w:tc>
          <w:tcPr>
            <w:tcW w:w="16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基本医保参保人数</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≥2084万人</w:t>
            </w:r>
          </w:p>
        </w:tc>
      </w:tr>
      <w:tr>
        <w:tblPrEx>
          <w:tblCellMar>
            <w:top w:w="0" w:type="dxa"/>
            <w:left w:w="108" w:type="dxa"/>
            <w:bottom w:w="0" w:type="dxa"/>
            <w:right w:w="108" w:type="dxa"/>
          </w:tblCellMar>
        </w:tblPrEx>
        <w:trPr>
          <w:trHeight w:val="860" w:hRule="atLeast"/>
        </w:trPr>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6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6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每个县(区)范围内开通门诊慢特病相关治疗费用跨省联网定点医疗机构数量</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w:t>
            </w:r>
          </w:p>
        </w:tc>
      </w:tr>
      <w:tr>
        <w:tblPrEx>
          <w:tblCellMar>
            <w:top w:w="0" w:type="dxa"/>
            <w:left w:w="108" w:type="dxa"/>
            <w:bottom w:w="0" w:type="dxa"/>
            <w:right w:w="108" w:type="dxa"/>
          </w:tblCellMar>
        </w:tblPrEx>
        <w:trPr>
          <w:trHeight w:val="700" w:hRule="atLeast"/>
        </w:trPr>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6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6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短缺药品异常高价和异常配送核查处置情况</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处置率达100%</w:t>
            </w:r>
          </w:p>
        </w:tc>
      </w:tr>
      <w:tr>
        <w:tblPrEx>
          <w:tblCellMar>
            <w:top w:w="0" w:type="dxa"/>
            <w:left w:w="108" w:type="dxa"/>
            <w:bottom w:w="0" w:type="dxa"/>
            <w:right w:w="108" w:type="dxa"/>
          </w:tblCellMar>
        </w:tblPrEx>
        <w:trPr>
          <w:trHeight w:val="520" w:hRule="atLeast"/>
        </w:trPr>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6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6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每年开展药品挂网价格联动次数</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w:t>
            </w:r>
          </w:p>
        </w:tc>
      </w:tr>
      <w:tr>
        <w:tblPrEx>
          <w:tblCellMar>
            <w:top w:w="0" w:type="dxa"/>
            <w:left w:w="108" w:type="dxa"/>
            <w:bottom w:w="0" w:type="dxa"/>
            <w:right w:w="108" w:type="dxa"/>
          </w:tblCellMar>
        </w:tblPrEx>
        <w:trPr>
          <w:trHeight w:val="520" w:hRule="atLeast"/>
        </w:trPr>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6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质量指标</w:t>
            </w:r>
          </w:p>
        </w:tc>
        <w:tc>
          <w:tcPr>
            <w:tcW w:w="16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重复参保治理情况</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依托医保信息平台实施参保信息强制校验</w:t>
            </w:r>
          </w:p>
        </w:tc>
      </w:tr>
      <w:tr>
        <w:tblPrEx>
          <w:tblCellMar>
            <w:top w:w="0" w:type="dxa"/>
            <w:left w:w="108" w:type="dxa"/>
            <w:bottom w:w="0" w:type="dxa"/>
            <w:right w:w="108" w:type="dxa"/>
          </w:tblCellMar>
        </w:tblPrEx>
        <w:trPr>
          <w:trHeight w:val="660" w:hRule="atLeast"/>
        </w:trPr>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lang w:eastAsia="zh-CN"/>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lang w:eastAsia="zh-CN"/>
              </w:rPr>
            </w:pPr>
          </w:p>
        </w:tc>
        <w:tc>
          <w:tcPr>
            <w:tcW w:w="6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lang w:eastAsia="zh-CN"/>
              </w:rPr>
            </w:pPr>
          </w:p>
        </w:tc>
        <w:tc>
          <w:tcPr>
            <w:tcW w:w="16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医保基金综合监管能力</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有所提升</w:t>
            </w:r>
          </w:p>
        </w:tc>
      </w:tr>
      <w:tr>
        <w:tblPrEx>
          <w:tblCellMar>
            <w:top w:w="0" w:type="dxa"/>
            <w:left w:w="108" w:type="dxa"/>
            <w:bottom w:w="0" w:type="dxa"/>
            <w:right w:w="108" w:type="dxa"/>
          </w:tblCellMar>
        </w:tblPrEx>
        <w:trPr>
          <w:trHeight w:val="580" w:hRule="atLeast"/>
        </w:trPr>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6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6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基金预警和风险防控能力</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有所提高</w:t>
            </w:r>
          </w:p>
        </w:tc>
      </w:tr>
      <w:tr>
        <w:tblPrEx>
          <w:tblCellMar>
            <w:top w:w="0" w:type="dxa"/>
            <w:left w:w="108" w:type="dxa"/>
            <w:bottom w:w="0" w:type="dxa"/>
            <w:right w:w="108" w:type="dxa"/>
          </w:tblCellMar>
        </w:tblPrEx>
        <w:trPr>
          <w:trHeight w:val="520" w:hRule="atLeast"/>
        </w:trPr>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6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6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推进医保支付方式改革</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省级出台支付方式改革文件并落实到位</w:t>
            </w:r>
          </w:p>
        </w:tc>
      </w:tr>
      <w:tr>
        <w:tblPrEx>
          <w:tblCellMar>
            <w:top w:w="0" w:type="dxa"/>
            <w:left w:w="108" w:type="dxa"/>
            <w:bottom w:w="0" w:type="dxa"/>
            <w:right w:w="108" w:type="dxa"/>
          </w:tblCellMar>
        </w:tblPrEx>
        <w:trPr>
          <w:trHeight w:val="760" w:hRule="atLeast"/>
        </w:trPr>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lang w:eastAsia="zh-CN"/>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lang w:eastAsia="zh-CN"/>
              </w:rPr>
            </w:pPr>
          </w:p>
        </w:tc>
        <w:tc>
          <w:tcPr>
            <w:tcW w:w="6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lang w:eastAsia="zh-CN"/>
              </w:rPr>
            </w:pPr>
          </w:p>
        </w:tc>
        <w:tc>
          <w:tcPr>
            <w:tcW w:w="16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医保经办服务能力</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有所提升</w:t>
            </w:r>
          </w:p>
        </w:tc>
      </w:tr>
      <w:tr>
        <w:tblPrEx>
          <w:tblCellMar>
            <w:top w:w="0" w:type="dxa"/>
            <w:left w:w="108" w:type="dxa"/>
            <w:bottom w:w="0" w:type="dxa"/>
            <w:right w:w="108" w:type="dxa"/>
          </w:tblCellMar>
        </w:tblPrEx>
        <w:trPr>
          <w:trHeight w:val="520" w:hRule="atLeast"/>
        </w:trPr>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6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6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医保标准化水平</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显著提升</w:t>
            </w:r>
          </w:p>
        </w:tc>
      </w:tr>
      <w:tr>
        <w:tblPrEx>
          <w:tblCellMar>
            <w:top w:w="0" w:type="dxa"/>
            <w:left w:w="108" w:type="dxa"/>
            <w:bottom w:w="0" w:type="dxa"/>
            <w:right w:w="108" w:type="dxa"/>
          </w:tblCellMar>
        </w:tblPrEx>
        <w:trPr>
          <w:trHeight w:val="680" w:hRule="atLeast"/>
        </w:trPr>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6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6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开展村(社区)级医保服务、有网点提供帮办、代办服务的村(社区)覆盖率</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≥60%</w:t>
            </w:r>
          </w:p>
        </w:tc>
      </w:tr>
      <w:tr>
        <w:tblPrEx>
          <w:tblCellMar>
            <w:top w:w="0" w:type="dxa"/>
            <w:left w:w="108" w:type="dxa"/>
            <w:bottom w:w="0" w:type="dxa"/>
            <w:right w:w="108" w:type="dxa"/>
          </w:tblCellMar>
        </w:tblPrEx>
        <w:trPr>
          <w:trHeight w:val="520" w:hRule="atLeast"/>
        </w:trPr>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6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6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提升公立医疗机构平台采购药品耗材比例</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药品网采率≥85%，高值医用耗材网采率≥75%</w:t>
            </w:r>
          </w:p>
        </w:tc>
      </w:tr>
      <w:tr>
        <w:tblPrEx>
          <w:tblCellMar>
            <w:top w:w="0" w:type="dxa"/>
            <w:left w:w="108" w:type="dxa"/>
            <w:bottom w:w="0" w:type="dxa"/>
            <w:right w:w="108" w:type="dxa"/>
          </w:tblCellMar>
        </w:tblPrEx>
        <w:trPr>
          <w:trHeight w:val="520" w:hRule="atLeast"/>
        </w:trPr>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lang w:eastAsia="zh-CN"/>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lang w:eastAsia="zh-CN"/>
              </w:rPr>
            </w:pPr>
          </w:p>
        </w:tc>
        <w:tc>
          <w:tcPr>
            <w:tcW w:w="6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lang w:eastAsia="zh-CN"/>
              </w:rPr>
            </w:pPr>
          </w:p>
        </w:tc>
        <w:tc>
          <w:tcPr>
            <w:tcW w:w="16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医保信息系统正常运行率</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≥90%</w:t>
            </w:r>
          </w:p>
        </w:tc>
      </w:tr>
      <w:tr>
        <w:tblPrEx>
          <w:tblCellMar>
            <w:top w:w="0" w:type="dxa"/>
            <w:left w:w="108" w:type="dxa"/>
            <w:bottom w:w="0" w:type="dxa"/>
            <w:right w:w="108" w:type="dxa"/>
          </w:tblCellMar>
        </w:tblPrEx>
        <w:trPr>
          <w:trHeight w:val="520" w:hRule="atLeast"/>
        </w:trPr>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6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6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国谈药等相关药品落地及统计监测情况</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国谈药品落地数据报送及时率100%</w:t>
            </w:r>
          </w:p>
        </w:tc>
      </w:tr>
      <w:tr>
        <w:tblPrEx>
          <w:tblCellMar>
            <w:top w:w="0" w:type="dxa"/>
            <w:left w:w="108" w:type="dxa"/>
            <w:bottom w:w="0" w:type="dxa"/>
            <w:right w:w="108" w:type="dxa"/>
          </w:tblCellMar>
        </w:tblPrEx>
        <w:trPr>
          <w:trHeight w:val="640" w:hRule="atLeast"/>
        </w:trPr>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lang w:eastAsia="zh-CN"/>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lang w:eastAsia="zh-CN"/>
              </w:rPr>
            </w:pPr>
          </w:p>
        </w:tc>
        <w:tc>
          <w:tcPr>
            <w:tcW w:w="6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lang w:eastAsia="zh-CN"/>
              </w:rPr>
            </w:pPr>
          </w:p>
        </w:tc>
        <w:tc>
          <w:tcPr>
            <w:tcW w:w="16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医疗服务价格动态调整与深化医疗服务价格改革试点执行情况</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按要求开展调价评估并进行调价，确保医疗服务价格管理与深化医疗服务价格改革方向一致</w:t>
            </w:r>
          </w:p>
        </w:tc>
      </w:tr>
      <w:tr>
        <w:tblPrEx>
          <w:tblCellMar>
            <w:top w:w="0" w:type="dxa"/>
            <w:left w:w="108" w:type="dxa"/>
            <w:bottom w:w="0" w:type="dxa"/>
            <w:right w:w="108" w:type="dxa"/>
          </w:tblCellMar>
        </w:tblPrEx>
        <w:trPr>
          <w:trHeight w:val="520" w:hRule="atLeast"/>
        </w:trPr>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lang w:eastAsia="zh-CN"/>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lang w:eastAsia="zh-CN"/>
              </w:rPr>
            </w:pPr>
          </w:p>
        </w:tc>
        <w:tc>
          <w:tcPr>
            <w:tcW w:w="6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lang w:eastAsia="zh-CN"/>
              </w:rPr>
            </w:pPr>
          </w:p>
        </w:tc>
        <w:tc>
          <w:tcPr>
            <w:tcW w:w="16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集中带量采购落实情况</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完成国家组织集中采购中选产品约定采购量</w:t>
            </w:r>
          </w:p>
        </w:tc>
      </w:tr>
      <w:tr>
        <w:tblPrEx>
          <w:tblCellMar>
            <w:top w:w="0" w:type="dxa"/>
            <w:left w:w="108" w:type="dxa"/>
            <w:bottom w:w="0" w:type="dxa"/>
            <w:right w:w="108" w:type="dxa"/>
          </w:tblCellMar>
        </w:tblPrEx>
        <w:trPr>
          <w:trHeight w:val="520" w:hRule="atLeast"/>
        </w:trPr>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lang w:eastAsia="zh-CN"/>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lang w:eastAsia="zh-CN"/>
              </w:rPr>
            </w:pPr>
          </w:p>
        </w:tc>
        <w:tc>
          <w:tcPr>
            <w:tcW w:w="6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lang w:eastAsia="zh-CN"/>
              </w:rPr>
            </w:pPr>
          </w:p>
        </w:tc>
        <w:tc>
          <w:tcPr>
            <w:tcW w:w="16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医药价格和招采信用评价制度建立和实施情况</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限定时限内反馈案源处理情况</w:t>
            </w:r>
          </w:p>
        </w:tc>
      </w:tr>
      <w:tr>
        <w:tblPrEx>
          <w:tblCellMar>
            <w:top w:w="0" w:type="dxa"/>
            <w:left w:w="108" w:type="dxa"/>
            <w:bottom w:w="0" w:type="dxa"/>
            <w:right w:w="108" w:type="dxa"/>
          </w:tblCellMar>
        </w:tblPrEx>
        <w:trPr>
          <w:trHeight w:val="520" w:hRule="atLeast"/>
        </w:trPr>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lang w:eastAsia="zh-CN"/>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lang w:eastAsia="zh-CN"/>
              </w:rPr>
            </w:pPr>
          </w:p>
        </w:tc>
        <w:tc>
          <w:tcPr>
            <w:tcW w:w="6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lang w:eastAsia="zh-CN"/>
              </w:rPr>
            </w:pPr>
          </w:p>
        </w:tc>
        <w:tc>
          <w:tcPr>
            <w:tcW w:w="16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招采子系统落地应用情况</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实现交易、采购等核心功能应用</w:t>
            </w:r>
          </w:p>
        </w:tc>
      </w:tr>
      <w:tr>
        <w:tblPrEx>
          <w:tblCellMar>
            <w:top w:w="0" w:type="dxa"/>
            <w:left w:w="108" w:type="dxa"/>
            <w:bottom w:w="0" w:type="dxa"/>
            <w:right w:w="108" w:type="dxa"/>
          </w:tblCellMar>
        </w:tblPrEx>
        <w:trPr>
          <w:trHeight w:val="520" w:hRule="atLeast"/>
        </w:trPr>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lang w:eastAsia="zh-CN"/>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lang w:eastAsia="zh-CN"/>
              </w:rPr>
            </w:pPr>
          </w:p>
        </w:tc>
        <w:tc>
          <w:tcPr>
            <w:tcW w:w="6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lang w:eastAsia="zh-CN"/>
              </w:rPr>
            </w:pPr>
          </w:p>
        </w:tc>
        <w:tc>
          <w:tcPr>
            <w:tcW w:w="16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医保目录管理规范性情况</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年内未出现违反目录管理政策情况</w:t>
            </w:r>
          </w:p>
        </w:tc>
      </w:tr>
      <w:tr>
        <w:tblPrEx>
          <w:tblCellMar>
            <w:top w:w="0" w:type="dxa"/>
            <w:left w:w="108" w:type="dxa"/>
            <w:bottom w:w="0" w:type="dxa"/>
            <w:right w:w="108" w:type="dxa"/>
          </w:tblCellMar>
        </w:tblPrEx>
        <w:trPr>
          <w:trHeight w:val="520" w:hRule="atLeast"/>
        </w:trPr>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lang w:eastAsia="zh-CN"/>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lang w:eastAsia="zh-CN"/>
              </w:rPr>
            </w:pPr>
          </w:p>
        </w:tc>
        <w:tc>
          <w:tcPr>
            <w:tcW w:w="6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时效指标</w:t>
            </w:r>
          </w:p>
        </w:tc>
        <w:tc>
          <w:tcPr>
            <w:tcW w:w="16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医保信息系统重大安全事件响应时间</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&lt;=60分钟</w:t>
            </w:r>
          </w:p>
        </w:tc>
      </w:tr>
      <w:tr>
        <w:tblPrEx>
          <w:tblCellMar>
            <w:top w:w="0" w:type="dxa"/>
            <w:left w:w="108" w:type="dxa"/>
            <w:bottom w:w="0" w:type="dxa"/>
            <w:right w:w="108" w:type="dxa"/>
          </w:tblCellMar>
        </w:tblPrEx>
        <w:trPr>
          <w:trHeight w:val="520" w:hRule="atLeast"/>
        </w:trPr>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4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6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6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医保信息系统运行维护响应时间</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&lt;=30分钟</w:t>
            </w:r>
          </w:p>
        </w:tc>
      </w:tr>
      <w:tr>
        <w:tblPrEx>
          <w:tblCellMar>
            <w:top w:w="0" w:type="dxa"/>
            <w:left w:w="108" w:type="dxa"/>
            <w:bottom w:w="0" w:type="dxa"/>
            <w:right w:w="108" w:type="dxa"/>
          </w:tblCellMar>
        </w:tblPrEx>
        <w:trPr>
          <w:trHeight w:val="520" w:hRule="atLeast"/>
        </w:trPr>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4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满意度指标</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服务对象满意度指标</w:t>
            </w:r>
          </w:p>
        </w:tc>
        <w:tc>
          <w:tcPr>
            <w:tcW w:w="16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参保人员对医保服务的满意度</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≥85%</w:t>
            </w:r>
          </w:p>
        </w:tc>
      </w:tr>
    </w:tbl>
    <w:p>
      <w:pPr>
        <w:rPr>
          <w:rFonts w:ascii="楷体_GB2312" w:hAnsi="楷体_GB2312" w:eastAsia="楷体_GB2312" w:cs="楷体_GB2312"/>
          <w:color w:val="auto"/>
          <w:spacing w:val="-3"/>
          <w:sz w:val="32"/>
          <w:szCs w:val="32"/>
          <w:highlight w:val="none"/>
          <w:lang w:eastAsia="zh-CN"/>
        </w:rPr>
      </w:pPr>
      <w:r>
        <w:rPr>
          <w:rFonts w:hint="eastAsia" w:ascii="楷体_GB2312" w:hAnsi="楷体_GB2312" w:eastAsia="楷体_GB2312" w:cs="楷体_GB2312"/>
          <w:color w:val="auto"/>
          <w:spacing w:val="-3"/>
          <w:sz w:val="32"/>
          <w:szCs w:val="32"/>
          <w:highlight w:val="none"/>
          <w:lang w:eastAsia="zh-CN"/>
        </w:rPr>
        <w:br w:type="page"/>
      </w:r>
    </w:p>
    <w:p>
      <w:pPr>
        <w:pStyle w:val="7"/>
        <w:numPr>
          <w:ilvl w:val="0"/>
          <w:numId w:val="1"/>
        </w:numPr>
        <w:spacing w:line="560" w:lineRule="exact"/>
        <w:ind w:firstLine="628" w:firstLineChars="200"/>
        <w:jc w:val="both"/>
        <w:rPr>
          <w:rFonts w:ascii="楷体_GB2312" w:hAnsi="楷体_GB2312" w:eastAsia="楷体_GB2312" w:cs="楷体_GB2312"/>
          <w:color w:val="auto"/>
          <w:spacing w:val="-3"/>
          <w:sz w:val="32"/>
          <w:szCs w:val="32"/>
          <w:highlight w:val="none"/>
          <w:lang w:eastAsia="zh-CN"/>
        </w:rPr>
      </w:pPr>
      <w:r>
        <w:rPr>
          <w:rFonts w:hint="eastAsia" w:ascii="楷体_GB2312" w:hAnsi="楷体_GB2312" w:eastAsia="楷体_GB2312" w:cs="楷体_GB2312"/>
          <w:color w:val="auto"/>
          <w:spacing w:val="-3"/>
          <w:sz w:val="32"/>
          <w:szCs w:val="32"/>
          <w:highlight w:val="none"/>
          <w:lang w:eastAsia="zh-CN"/>
        </w:rPr>
        <w:t>自治区资金安排、分解下达预算和绩效目标情况</w:t>
      </w:r>
    </w:p>
    <w:p>
      <w:pPr>
        <w:wordWrap w:val="0"/>
        <w:spacing w:line="560" w:lineRule="exact"/>
        <w:ind w:firstLine="628" w:firstLineChars="200"/>
        <w:jc w:val="both"/>
        <w:rPr>
          <w:rFonts w:hint="default" w:ascii="楷体_GB2312" w:hAnsi="楷体_GB2312" w:eastAsia="楷体_GB2312" w:cs="楷体_GB2312"/>
          <w:snapToGrid w:val="0"/>
          <w:color w:val="auto"/>
          <w:spacing w:val="-3"/>
          <w:sz w:val="32"/>
          <w:szCs w:val="32"/>
          <w:highlight w:val="none"/>
          <w:lang w:val="en-US" w:eastAsia="zh-CN" w:bidi="ar-SA"/>
        </w:rPr>
      </w:pPr>
      <w:r>
        <w:rPr>
          <w:rFonts w:hint="eastAsia" w:ascii="楷体_GB2312" w:hAnsi="楷体_GB2312" w:eastAsia="楷体_GB2312" w:cs="楷体_GB2312"/>
          <w:snapToGrid w:val="0"/>
          <w:color w:val="auto"/>
          <w:spacing w:val="-3"/>
          <w:sz w:val="32"/>
          <w:szCs w:val="32"/>
          <w:highlight w:val="none"/>
          <w:lang w:val="en-US" w:eastAsia="zh-CN" w:bidi="ar-SA"/>
        </w:rPr>
        <w:t xml:space="preserve">1.自治区分解下达预算情况 </w:t>
      </w:r>
    </w:p>
    <w:p>
      <w:pPr>
        <w:spacing w:line="560" w:lineRule="exact"/>
        <w:ind w:firstLine="640" w:firstLineChars="200"/>
        <w:jc w:val="both"/>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2023年12月16日，自治区</w:t>
      </w:r>
      <w:r>
        <w:rPr>
          <w:rFonts w:hint="eastAsia" w:ascii="仿宋_GB2312" w:hAnsi="仿宋_GB2312" w:eastAsia="仿宋_GB2312" w:cs="仿宋_GB2312"/>
          <w:color w:val="auto"/>
          <w:sz w:val="32"/>
          <w:szCs w:val="32"/>
          <w:highlight w:val="none"/>
          <w:lang w:eastAsia="zh-CN"/>
        </w:rPr>
        <w:t>《关于提前下达2024年中央财政医疗服务与保障能力提升补助资金(医疗保障服务能力建设部分)预算的通知》（新财社〔2023〕191号）</w:t>
      </w:r>
      <w:r>
        <w:rPr>
          <w:rFonts w:hint="eastAsia" w:ascii="仿宋_GB2312" w:hAnsi="仿宋_GB2312" w:eastAsia="仿宋_GB2312" w:cs="仿宋_GB2312"/>
          <w:color w:val="auto"/>
          <w:sz w:val="32"/>
          <w:szCs w:val="32"/>
          <w:highlight w:val="none"/>
          <w:lang w:val="en-US" w:eastAsia="zh-CN"/>
        </w:rPr>
        <w:t>分解下达中央资金8315万元；2024年5月24日，自治区</w:t>
      </w:r>
      <w:r>
        <w:rPr>
          <w:rFonts w:hint="eastAsia" w:ascii="仿宋_GB2312" w:hAnsi="仿宋_GB2312" w:eastAsia="仿宋_GB2312" w:cs="仿宋_GB2312"/>
          <w:color w:val="auto"/>
          <w:sz w:val="32"/>
          <w:szCs w:val="32"/>
          <w:highlight w:val="none"/>
          <w:lang w:eastAsia="zh-CN"/>
        </w:rPr>
        <w:t>《关于下达2024年中央财政医疗服务与保障能力提升补助资金(医疗保障服务能力建设部分)预算的通知》（新财社〔2024〕36号）分解下达中央资金</w:t>
      </w:r>
      <w:r>
        <w:rPr>
          <w:rFonts w:hint="eastAsia" w:ascii="仿宋_GB2312" w:hAnsi="仿宋_GB2312" w:eastAsia="仿宋_GB2312" w:cs="仿宋_GB2312"/>
          <w:color w:val="auto"/>
          <w:sz w:val="32"/>
          <w:szCs w:val="32"/>
          <w:highlight w:val="none"/>
          <w:lang w:val="en-US" w:eastAsia="zh-CN"/>
        </w:rPr>
        <w:t>2185万元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两批资金共计10500万元。</w:t>
      </w:r>
    </w:p>
    <w:p>
      <w:pPr>
        <w:spacing w:line="560" w:lineRule="exact"/>
        <w:ind w:firstLine="640" w:firstLineChars="200"/>
        <w:jc w:val="both"/>
        <w:rPr>
          <w:color w:val="auto"/>
          <w:highlight w:val="none"/>
          <w:lang w:eastAsia="zh-CN"/>
        </w:rPr>
      </w:pPr>
      <w:r>
        <w:rPr>
          <w:rFonts w:hint="eastAsia" w:ascii="仿宋_GB2312" w:hAnsi="仿宋_GB2312" w:eastAsia="仿宋_GB2312" w:cs="仿宋_GB2312"/>
          <w:color w:val="auto"/>
          <w:sz w:val="32"/>
          <w:szCs w:val="32"/>
          <w:highlight w:val="none"/>
          <w:lang w:eastAsia="zh-CN"/>
        </w:rPr>
        <w:t>2024年能力提升</w:t>
      </w:r>
      <w:r>
        <w:rPr>
          <w:rFonts w:hint="eastAsia" w:ascii="仿宋_GB2312" w:hAnsi="仿宋_GB2312" w:eastAsia="仿宋_GB2312" w:cs="仿宋_GB2312"/>
          <w:color w:val="auto"/>
          <w:sz w:val="32"/>
          <w:szCs w:val="32"/>
          <w:highlight w:val="none"/>
          <w:lang w:val="en-US" w:eastAsia="zh-CN"/>
        </w:rPr>
        <w:t>补助</w:t>
      </w:r>
      <w:r>
        <w:rPr>
          <w:rFonts w:hint="eastAsia" w:ascii="仿宋_GB2312" w:hAnsi="仿宋_GB2312" w:eastAsia="仿宋_GB2312" w:cs="仿宋_GB2312"/>
          <w:color w:val="auto"/>
          <w:sz w:val="32"/>
          <w:szCs w:val="32"/>
          <w:highlight w:val="none"/>
          <w:lang w:eastAsia="zh-CN"/>
        </w:rPr>
        <w:t>资金</w:t>
      </w:r>
      <w:r>
        <w:rPr>
          <w:rFonts w:hint="eastAsia" w:ascii="仿宋_GB2312" w:hAnsi="仿宋_GB2312" w:eastAsia="仿宋_GB2312" w:cs="仿宋_GB2312"/>
          <w:color w:val="auto"/>
          <w:sz w:val="32"/>
          <w:szCs w:val="32"/>
          <w:highlight w:val="none"/>
          <w:lang w:val="en-US" w:eastAsia="zh-CN"/>
        </w:rPr>
        <w:t>分解</w:t>
      </w:r>
      <w:r>
        <w:rPr>
          <w:rFonts w:hint="eastAsia" w:ascii="仿宋_GB2312" w:hAnsi="仿宋_GB2312" w:eastAsia="仿宋_GB2312" w:cs="仿宋_GB2312"/>
          <w:color w:val="auto"/>
          <w:sz w:val="32"/>
          <w:szCs w:val="32"/>
          <w:highlight w:val="none"/>
          <w:lang w:eastAsia="zh-CN"/>
        </w:rPr>
        <w:t>如下：</w:t>
      </w:r>
    </w:p>
    <w:tbl>
      <w:tblPr>
        <w:tblStyle w:val="14"/>
        <w:tblW w:w="5000" w:type="pct"/>
        <w:tblInd w:w="0" w:type="dxa"/>
        <w:tblLayout w:type="autofit"/>
        <w:tblCellMar>
          <w:top w:w="0" w:type="dxa"/>
          <w:left w:w="108" w:type="dxa"/>
          <w:bottom w:w="0" w:type="dxa"/>
          <w:right w:w="108" w:type="dxa"/>
        </w:tblCellMar>
      </w:tblPr>
      <w:tblGrid>
        <w:gridCol w:w="659"/>
        <w:gridCol w:w="1135"/>
        <w:gridCol w:w="1269"/>
        <w:gridCol w:w="981"/>
        <w:gridCol w:w="1258"/>
        <w:gridCol w:w="1251"/>
        <w:gridCol w:w="1269"/>
        <w:gridCol w:w="1126"/>
      </w:tblGrid>
      <w:tr>
        <w:tblPrEx>
          <w:tblCellMar>
            <w:top w:w="0" w:type="dxa"/>
            <w:left w:w="108" w:type="dxa"/>
            <w:bottom w:w="0" w:type="dxa"/>
            <w:right w:w="108" w:type="dxa"/>
          </w:tblCellMar>
        </w:tblPrEx>
        <w:trPr>
          <w:trHeight w:val="420" w:hRule="atLeast"/>
        </w:trPr>
        <w:tc>
          <w:tcPr>
            <w:tcW w:w="5000" w:type="pct"/>
            <w:gridSpan w:val="8"/>
            <w:tcBorders>
              <w:top w:val="nil"/>
              <w:left w:val="nil"/>
              <w:bottom w:val="nil"/>
              <w:right w:val="nil"/>
            </w:tcBorders>
            <w:shd w:val="clear" w:color="auto" w:fill="auto"/>
            <w:vAlign w:val="center"/>
          </w:tcPr>
          <w:p>
            <w:pPr>
              <w:jc w:val="center"/>
              <w:textAlignment w:val="center"/>
              <w:rPr>
                <w:rFonts w:hint="default" w:ascii="宋体" w:hAnsi="宋体" w:eastAsia="宋体" w:cs="宋体"/>
                <w:b/>
                <w:bCs/>
                <w:color w:val="auto"/>
                <w:sz w:val="32"/>
                <w:szCs w:val="32"/>
                <w:highlight w:val="none"/>
                <w:lang w:val="en-US" w:eastAsia="zh-CN"/>
              </w:rPr>
            </w:pPr>
            <w:r>
              <w:rPr>
                <w:rFonts w:hint="eastAsia" w:ascii="仿宋_GB2312" w:hAnsi="仿宋_GB2312" w:eastAsia="仿宋_GB2312" w:cs="仿宋_GB2312"/>
                <w:b/>
                <w:bCs/>
                <w:color w:val="auto"/>
                <w:sz w:val="28"/>
                <w:szCs w:val="28"/>
                <w:highlight w:val="none"/>
                <w:lang w:eastAsia="zh-CN"/>
              </w:rPr>
              <w:t>2024年中央财政医疗服务与保障能力提升补助资金(医疗保障服务能力建设部分)资金</w:t>
            </w:r>
            <w:r>
              <w:rPr>
                <w:rFonts w:hint="eastAsia" w:ascii="仿宋_GB2312" w:hAnsi="仿宋_GB2312" w:eastAsia="仿宋_GB2312" w:cs="仿宋_GB2312"/>
                <w:b/>
                <w:bCs/>
                <w:color w:val="auto"/>
                <w:sz w:val="28"/>
                <w:szCs w:val="28"/>
                <w:highlight w:val="none"/>
                <w:lang w:val="en-US" w:eastAsia="zh-CN"/>
              </w:rPr>
              <w:t>分解下达情况</w:t>
            </w:r>
          </w:p>
        </w:tc>
      </w:tr>
      <w:tr>
        <w:tblPrEx>
          <w:tblCellMar>
            <w:top w:w="0" w:type="dxa"/>
            <w:left w:w="108" w:type="dxa"/>
            <w:bottom w:w="0" w:type="dxa"/>
            <w:right w:w="108" w:type="dxa"/>
          </w:tblCellMar>
        </w:tblPrEx>
        <w:trPr>
          <w:trHeight w:val="380" w:hRule="atLeast"/>
        </w:trPr>
        <w:tc>
          <w:tcPr>
            <w:tcW w:w="5000" w:type="pct"/>
            <w:gridSpan w:val="8"/>
            <w:tcBorders>
              <w:top w:val="nil"/>
              <w:left w:val="nil"/>
              <w:bottom w:val="nil"/>
              <w:right w:val="nil"/>
            </w:tcBorders>
            <w:shd w:val="clear" w:color="auto" w:fill="auto"/>
            <w:noWrap/>
            <w:vAlign w:val="center"/>
          </w:tcPr>
          <w:p>
            <w:pPr>
              <w:jc w:val="right"/>
              <w:textAlignment w:val="center"/>
              <w:rPr>
                <w:rFonts w:ascii="宋体" w:hAnsi="宋体" w:eastAsia="宋体" w:cs="宋体"/>
                <w:b/>
                <w:bCs/>
                <w:color w:val="auto"/>
                <w:sz w:val="16"/>
                <w:szCs w:val="16"/>
                <w:highlight w:val="none"/>
              </w:rPr>
            </w:pPr>
            <w:r>
              <w:rPr>
                <w:rStyle w:val="25"/>
                <w:rFonts w:hint="eastAsia" w:ascii="仿宋_GB2312" w:hAnsi="仿宋_GB2312" w:eastAsia="仿宋_GB2312" w:cs="仿宋_GB2312"/>
                <w:b w:val="0"/>
                <w:bCs w:val="0"/>
                <w:color w:val="auto"/>
                <w:sz w:val="24"/>
                <w:szCs w:val="24"/>
                <w:highlight w:val="none"/>
                <w:lang w:eastAsia="zh-CN"/>
              </w:rPr>
              <w:t>单位：万元</w:t>
            </w:r>
          </w:p>
        </w:tc>
      </w:tr>
      <w:tr>
        <w:tblPrEx>
          <w:tblCellMar>
            <w:top w:w="0" w:type="dxa"/>
            <w:left w:w="108" w:type="dxa"/>
            <w:bottom w:w="0" w:type="dxa"/>
            <w:right w:w="108" w:type="dxa"/>
          </w:tblCellMar>
        </w:tblPrEx>
        <w:trPr>
          <w:trHeight w:val="785" w:hRule="atLeast"/>
        </w:trPr>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Style w:val="29"/>
                <w:rFonts w:hint="eastAsia" w:ascii="仿宋_GB2312" w:hAnsi="仿宋_GB2312" w:eastAsia="仿宋_GB2312" w:cs="仿宋_GB2312"/>
                <w:color w:val="auto"/>
                <w:sz w:val="20"/>
                <w:szCs w:val="20"/>
                <w:highlight w:val="none"/>
                <w:lang w:eastAsia="zh-CN"/>
              </w:rPr>
              <w:t>序号</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Style w:val="29"/>
                <w:rFonts w:hint="eastAsia" w:ascii="仿宋_GB2312" w:hAnsi="仿宋_GB2312" w:eastAsia="仿宋_GB2312" w:cs="仿宋_GB2312"/>
                <w:color w:val="auto"/>
                <w:sz w:val="20"/>
                <w:szCs w:val="20"/>
                <w:highlight w:val="none"/>
                <w:lang w:eastAsia="zh-CN"/>
              </w:rPr>
              <w:t>单位</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Style w:val="29"/>
                <w:rFonts w:hint="eastAsia" w:ascii="仿宋_GB2312" w:hAnsi="仿宋_GB2312" w:eastAsia="仿宋_GB2312" w:cs="仿宋_GB2312"/>
                <w:color w:val="auto"/>
                <w:sz w:val="20"/>
                <w:szCs w:val="20"/>
                <w:highlight w:val="none"/>
                <w:lang w:eastAsia="zh-CN"/>
              </w:rPr>
              <w:t>医保支付方式改革</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Style w:val="29"/>
                <w:rFonts w:hint="eastAsia" w:ascii="仿宋_GB2312" w:hAnsi="仿宋_GB2312" w:eastAsia="仿宋_GB2312" w:cs="仿宋_GB2312"/>
                <w:color w:val="auto"/>
                <w:sz w:val="20"/>
                <w:szCs w:val="20"/>
                <w:highlight w:val="none"/>
                <w:lang w:eastAsia="zh-CN"/>
              </w:rPr>
              <w:t>基金监管</w:t>
            </w:r>
          </w:p>
        </w:tc>
        <w:tc>
          <w:tcPr>
            <w:tcW w:w="7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Style w:val="29"/>
                <w:rFonts w:hint="eastAsia" w:ascii="仿宋_GB2312" w:hAnsi="仿宋_GB2312" w:eastAsia="仿宋_GB2312" w:cs="仿宋_GB2312"/>
                <w:color w:val="auto"/>
                <w:sz w:val="20"/>
                <w:szCs w:val="20"/>
                <w:highlight w:val="none"/>
                <w:lang w:eastAsia="zh-CN"/>
              </w:rPr>
              <w:t>药品和医用耗材集</w:t>
            </w:r>
            <w:r>
              <w:rPr>
                <w:rStyle w:val="29"/>
                <w:rFonts w:hint="eastAsia" w:ascii="仿宋_GB2312" w:hAnsi="仿宋_GB2312" w:eastAsia="仿宋_GB2312" w:cs="仿宋_GB2312"/>
                <w:color w:val="auto"/>
                <w:sz w:val="20"/>
                <w:szCs w:val="20"/>
                <w:highlight w:val="none"/>
                <w:lang w:eastAsia="zh-CN"/>
              </w:rPr>
              <w:br w:type="textWrapping"/>
            </w:r>
            <w:r>
              <w:rPr>
                <w:rStyle w:val="29"/>
                <w:rFonts w:hint="eastAsia" w:ascii="仿宋_GB2312" w:hAnsi="仿宋_GB2312" w:eastAsia="仿宋_GB2312" w:cs="仿宋_GB2312"/>
                <w:color w:val="auto"/>
                <w:sz w:val="20"/>
                <w:szCs w:val="20"/>
                <w:highlight w:val="none"/>
                <w:lang w:eastAsia="zh-CN"/>
              </w:rPr>
              <w:t>中采购</w:t>
            </w:r>
            <w:r>
              <w:rPr>
                <w:rStyle w:val="29"/>
                <w:rFonts w:hint="eastAsia" w:ascii="仿宋_GB2312" w:hAnsi="仿宋_GB2312" w:eastAsia="仿宋_GB2312" w:cs="仿宋_GB2312"/>
                <w:color w:val="auto"/>
                <w:sz w:val="20"/>
                <w:szCs w:val="20"/>
                <w:highlight w:val="none"/>
                <w:lang w:eastAsia="zh-CN"/>
              </w:rPr>
              <w:br w:type="textWrapping"/>
            </w:r>
            <w:r>
              <w:rPr>
                <w:rStyle w:val="29"/>
                <w:rFonts w:hint="eastAsia" w:ascii="仿宋_GB2312" w:hAnsi="仿宋_GB2312" w:eastAsia="仿宋_GB2312" w:cs="仿宋_GB2312"/>
                <w:color w:val="auto"/>
                <w:sz w:val="20"/>
                <w:szCs w:val="20"/>
                <w:highlight w:val="none"/>
                <w:lang w:eastAsia="zh-CN"/>
              </w:rPr>
              <w:t>(医药价格监测)</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Style w:val="29"/>
                <w:rFonts w:hint="eastAsia" w:ascii="仿宋_GB2312" w:hAnsi="仿宋_GB2312" w:eastAsia="仿宋_GB2312" w:cs="仿宋_GB2312"/>
                <w:color w:val="auto"/>
                <w:sz w:val="20"/>
                <w:szCs w:val="20"/>
                <w:highlight w:val="none"/>
                <w:lang w:eastAsia="zh-CN"/>
              </w:rPr>
              <w:t>经办管理服务体系</w:t>
            </w:r>
            <w:r>
              <w:rPr>
                <w:rStyle w:val="29"/>
                <w:rFonts w:hint="eastAsia" w:ascii="仿宋_GB2312" w:hAnsi="仿宋_GB2312" w:eastAsia="仿宋_GB2312" w:cs="仿宋_GB2312"/>
                <w:color w:val="auto"/>
                <w:sz w:val="20"/>
                <w:szCs w:val="20"/>
                <w:highlight w:val="none"/>
                <w:lang w:eastAsia="zh-CN"/>
              </w:rPr>
              <w:br w:type="textWrapping"/>
            </w:r>
            <w:r>
              <w:rPr>
                <w:rStyle w:val="29"/>
                <w:rFonts w:hint="eastAsia" w:ascii="仿宋_GB2312" w:hAnsi="仿宋_GB2312" w:eastAsia="仿宋_GB2312" w:cs="仿宋_GB2312"/>
                <w:color w:val="auto"/>
                <w:sz w:val="20"/>
                <w:szCs w:val="20"/>
                <w:highlight w:val="none"/>
                <w:lang w:eastAsia="zh-CN"/>
              </w:rPr>
              <w:t>建设</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Style w:val="29"/>
                <w:rFonts w:ascii="仿宋_GB2312" w:hAnsi="仿宋_GB2312" w:eastAsia="仿宋_GB2312" w:cs="仿宋_GB2312"/>
                <w:color w:val="auto"/>
                <w:sz w:val="20"/>
                <w:szCs w:val="20"/>
                <w:highlight w:val="none"/>
                <w:lang w:eastAsia="zh-CN"/>
              </w:rPr>
            </w:pPr>
            <w:r>
              <w:rPr>
                <w:rStyle w:val="29"/>
                <w:rFonts w:hint="eastAsia" w:ascii="仿宋_GB2312" w:hAnsi="仿宋_GB2312" w:eastAsia="仿宋_GB2312" w:cs="仿宋_GB2312"/>
                <w:color w:val="auto"/>
                <w:sz w:val="20"/>
                <w:szCs w:val="20"/>
                <w:highlight w:val="none"/>
                <w:lang w:eastAsia="zh-CN"/>
              </w:rPr>
              <w:t>全区医保系统建设</w:t>
            </w:r>
          </w:p>
          <w:p>
            <w:pPr>
              <w:pStyle w:val="38"/>
              <w:jc w:val="center"/>
              <w:rPr>
                <w:color w:val="auto"/>
                <w:highlight w:val="none"/>
                <w:lang w:eastAsia="zh-CN"/>
              </w:rPr>
            </w:pPr>
            <w:r>
              <w:rPr>
                <w:rStyle w:val="29"/>
                <w:rFonts w:hint="eastAsia" w:ascii="仿宋_GB2312" w:hAnsi="仿宋_GB2312" w:eastAsia="仿宋_GB2312" w:cs="仿宋_GB2312"/>
                <w:color w:val="auto"/>
                <w:sz w:val="20"/>
                <w:szCs w:val="20"/>
                <w:highlight w:val="none"/>
                <w:lang w:eastAsia="zh-CN"/>
              </w:rPr>
              <w:t>（含数智工程及平台维护</w:t>
            </w:r>
            <w:r>
              <w:rPr>
                <w:rStyle w:val="29"/>
                <w:rFonts w:hint="eastAsia" w:ascii="仿宋_GB2312" w:hAnsi="仿宋_GB2312" w:eastAsia="仿宋_GB2312" w:cs="仿宋_GB2312"/>
                <w:color w:val="auto"/>
                <w:sz w:val="20"/>
                <w:szCs w:val="20"/>
                <w:highlight w:val="none"/>
                <w:lang w:val="en-US" w:eastAsia="zh-CN"/>
              </w:rPr>
              <w:t>2185万元</w:t>
            </w:r>
            <w:r>
              <w:rPr>
                <w:rStyle w:val="29"/>
                <w:rFonts w:hint="eastAsia" w:ascii="仿宋_GB2312" w:hAnsi="仿宋_GB2312" w:eastAsia="仿宋_GB2312" w:cs="仿宋_GB2312"/>
                <w:color w:val="auto"/>
                <w:sz w:val="20"/>
                <w:szCs w:val="20"/>
                <w:highlight w:val="none"/>
                <w:lang w:eastAsia="zh-CN"/>
              </w:rPr>
              <w:t>）</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Style w:val="29"/>
                <w:rFonts w:hint="eastAsia" w:ascii="仿宋_GB2312" w:hAnsi="仿宋_GB2312" w:eastAsia="仿宋_GB2312" w:cs="仿宋_GB2312"/>
                <w:color w:val="auto"/>
                <w:sz w:val="20"/>
                <w:szCs w:val="20"/>
                <w:highlight w:val="none"/>
                <w:lang w:eastAsia="zh-CN"/>
              </w:rPr>
              <w:t>合计</w:t>
            </w:r>
          </w:p>
        </w:tc>
      </w:tr>
      <w:tr>
        <w:tblPrEx>
          <w:tblCellMar>
            <w:top w:w="0" w:type="dxa"/>
            <w:left w:w="108" w:type="dxa"/>
            <w:bottom w:w="0" w:type="dxa"/>
            <w:right w:w="108" w:type="dxa"/>
          </w:tblCellMar>
        </w:tblPrEx>
        <w:trPr>
          <w:trHeight w:val="400" w:hRule="atLeast"/>
        </w:trPr>
        <w:tc>
          <w:tcPr>
            <w:tcW w:w="10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Style w:val="29"/>
                <w:rFonts w:hint="eastAsia" w:ascii="仿宋_GB2312" w:hAnsi="仿宋_GB2312" w:eastAsia="仿宋_GB2312" w:cs="仿宋_GB2312"/>
                <w:color w:val="auto"/>
                <w:sz w:val="20"/>
                <w:szCs w:val="20"/>
                <w:highlight w:val="none"/>
                <w:lang w:eastAsia="zh-CN"/>
              </w:rPr>
              <w:t>全区合计</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580</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1400</w:t>
            </w:r>
          </w:p>
        </w:tc>
        <w:tc>
          <w:tcPr>
            <w:tcW w:w="7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760</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595</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7165</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10500</w:t>
            </w:r>
          </w:p>
        </w:tc>
      </w:tr>
      <w:tr>
        <w:tblPrEx>
          <w:tblCellMar>
            <w:top w:w="0" w:type="dxa"/>
            <w:left w:w="108" w:type="dxa"/>
            <w:bottom w:w="0" w:type="dxa"/>
            <w:right w:w="108" w:type="dxa"/>
          </w:tblCellMar>
        </w:tblPrEx>
        <w:trPr>
          <w:trHeight w:val="400" w:hRule="atLeast"/>
        </w:trPr>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Style w:val="29"/>
                <w:rFonts w:hint="eastAsia" w:ascii="仿宋_GB2312" w:hAnsi="仿宋_GB2312" w:eastAsia="仿宋_GB2312" w:cs="仿宋_GB2312"/>
                <w:color w:val="auto"/>
                <w:sz w:val="20"/>
                <w:szCs w:val="20"/>
                <w:highlight w:val="none"/>
                <w:lang w:eastAsia="zh-CN"/>
              </w:rPr>
              <w:t>自治区医保局</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100</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500</w:t>
            </w:r>
          </w:p>
        </w:tc>
        <w:tc>
          <w:tcPr>
            <w:tcW w:w="7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0</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542.7</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7165</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8307.7</w:t>
            </w:r>
          </w:p>
        </w:tc>
      </w:tr>
      <w:tr>
        <w:tblPrEx>
          <w:tblCellMar>
            <w:top w:w="0" w:type="dxa"/>
            <w:left w:w="108" w:type="dxa"/>
            <w:bottom w:w="0" w:type="dxa"/>
            <w:right w:w="108" w:type="dxa"/>
          </w:tblCellMar>
        </w:tblPrEx>
        <w:trPr>
          <w:trHeight w:val="390" w:hRule="atLeast"/>
        </w:trPr>
        <w:tc>
          <w:tcPr>
            <w:tcW w:w="10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Style w:val="29"/>
                <w:rFonts w:hint="eastAsia" w:ascii="仿宋_GB2312" w:hAnsi="仿宋_GB2312" w:eastAsia="仿宋_GB2312" w:cs="仿宋_GB2312"/>
                <w:color w:val="auto"/>
                <w:sz w:val="20"/>
                <w:szCs w:val="20"/>
                <w:highlight w:val="none"/>
                <w:lang w:eastAsia="zh-CN"/>
              </w:rPr>
              <w:t>地州合计</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480</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900</w:t>
            </w:r>
          </w:p>
        </w:tc>
        <w:tc>
          <w:tcPr>
            <w:tcW w:w="7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760</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52.3</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0</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2192.3</w:t>
            </w:r>
          </w:p>
        </w:tc>
      </w:tr>
      <w:tr>
        <w:tblPrEx>
          <w:tblCellMar>
            <w:top w:w="0" w:type="dxa"/>
            <w:left w:w="108" w:type="dxa"/>
            <w:bottom w:w="0" w:type="dxa"/>
            <w:right w:w="108" w:type="dxa"/>
          </w:tblCellMar>
        </w:tblPrEx>
        <w:trPr>
          <w:trHeight w:val="400" w:hRule="atLeast"/>
        </w:trPr>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2</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Style w:val="29"/>
                <w:rFonts w:hint="eastAsia" w:ascii="仿宋_GB2312" w:hAnsi="仿宋_GB2312" w:eastAsia="仿宋_GB2312" w:cs="仿宋_GB2312"/>
                <w:color w:val="auto"/>
                <w:sz w:val="20"/>
                <w:szCs w:val="20"/>
                <w:highlight w:val="none"/>
                <w:lang w:eastAsia="zh-CN"/>
              </w:rPr>
              <w:t>乌鲁木齐市</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0</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120</w:t>
            </w:r>
          </w:p>
        </w:tc>
        <w:tc>
          <w:tcPr>
            <w:tcW w:w="7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45</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7</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0</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172</w:t>
            </w:r>
          </w:p>
        </w:tc>
      </w:tr>
      <w:tr>
        <w:tblPrEx>
          <w:tblCellMar>
            <w:top w:w="0" w:type="dxa"/>
            <w:left w:w="108" w:type="dxa"/>
            <w:bottom w:w="0" w:type="dxa"/>
            <w:right w:w="108" w:type="dxa"/>
          </w:tblCellMar>
        </w:tblPrEx>
        <w:trPr>
          <w:trHeight w:val="400" w:hRule="atLeast"/>
        </w:trPr>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3</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Style w:val="29"/>
                <w:rFonts w:hint="eastAsia" w:ascii="仿宋_GB2312" w:hAnsi="仿宋_GB2312" w:eastAsia="仿宋_GB2312" w:cs="仿宋_GB2312"/>
                <w:color w:val="auto"/>
                <w:sz w:val="20"/>
                <w:szCs w:val="20"/>
                <w:highlight w:val="none"/>
                <w:lang w:eastAsia="zh-CN"/>
              </w:rPr>
              <w:t>克拉玛依市</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50</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50</w:t>
            </w:r>
          </w:p>
        </w:tc>
        <w:tc>
          <w:tcPr>
            <w:tcW w:w="7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30</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7</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0</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137</w:t>
            </w:r>
          </w:p>
        </w:tc>
      </w:tr>
      <w:tr>
        <w:tblPrEx>
          <w:tblCellMar>
            <w:top w:w="0" w:type="dxa"/>
            <w:left w:w="108" w:type="dxa"/>
            <w:bottom w:w="0" w:type="dxa"/>
            <w:right w:w="108" w:type="dxa"/>
          </w:tblCellMar>
        </w:tblPrEx>
        <w:trPr>
          <w:trHeight w:val="390" w:hRule="atLeast"/>
        </w:trPr>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4</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Style w:val="29"/>
                <w:rFonts w:hint="eastAsia" w:ascii="仿宋_GB2312" w:hAnsi="仿宋_GB2312" w:eastAsia="仿宋_GB2312" w:cs="仿宋_GB2312"/>
                <w:color w:val="auto"/>
                <w:sz w:val="20"/>
                <w:szCs w:val="20"/>
                <w:highlight w:val="none"/>
                <w:lang w:eastAsia="zh-CN"/>
              </w:rPr>
              <w:t>伊犁州</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80</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60</w:t>
            </w:r>
          </w:p>
        </w:tc>
        <w:tc>
          <w:tcPr>
            <w:tcW w:w="7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100</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5</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0</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245</w:t>
            </w:r>
          </w:p>
        </w:tc>
      </w:tr>
      <w:tr>
        <w:tblPrEx>
          <w:tblCellMar>
            <w:top w:w="0" w:type="dxa"/>
            <w:left w:w="108" w:type="dxa"/>
            <w:bottom w:w="0" w:type="dxa"/>
            <w:right w:w="108" w:type="dxa"/>
          </w:tblCellMar>
        </w:tblPrEx>
        <w:trPr>
          <w:trHeight w:val="410" w:hRule="atLeast"/>
        </w:trPr>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5</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Style w:val="29"/>
                <w:rFonts w:hint="eastAsia" w:ascii="仿宋_GB2312" w:hAnsi="仿宋_GB2312" w:eastAsia="仿宋_GB2312" w:cs="仿宋_GB2312"/>
                <w:color w:val="auto"/>
                <w:sz w:val="20"/>
                <w:szCs w:val="20"/>
                <w:highlight w:val="none"/>
                <w:lang w:eastAsia="zh-CN"/>
              </w:rPr>
              <w:t>塔城地区</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0</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60</w:t>
            </w:r>
          </w:p>
        </w:tc>
        <w:tc>
          <w:tcPr>
            <w:tcW w:w="7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45</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4</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0</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109</w:t>
            </w:r>
          </w:p>
        </w:tc>
      </w:tr>
      <w:tr>
        <w:tblPrEx>
          <w:tblCellMar>
            <w:top w:w="0" w:type="dxa"/>
            <w:left w:w="108" w:type="dxa"/>
            <w:bottom w:w="0" w:type="dxa"/>
            <w:right w:w="108" w:type="dxa"/>
          </w:tblCellMar>
        </w:tblPrEx>
        <w:trPr>
          <w:trHeight w:val="400" w:hRule="atLeast"/>
        </w:trPr>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6</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Style w:val="29"/>
                <w:rFonts w:hint="eastAsia" w:ascii="仿宋_GB2312" w:hAnsi="仿宋_GB2312" w:eastAsia="仿宋_GB2312" w:cs="仿宋_GB2312"/>
                <w:color w:val="auto"/>
                <w:sz w:val="20"/>
                <w:szCs w:val="20"/>
                <w:highlight w:val="none"/>
                <w:lang w:eastAsia="zh-CN"/>
              </w:rPr>
              <w:t>阿勒泰地区</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50</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60</w:t>
            </w:r>
          </w:p>
        </w:tc>
        <w:tc>
          <w:tcPr>
            <w:tcW w:w="7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40</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2.6</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0</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152.6</w:t>
            </w:r>
          </w:p>
        </w:tc>
      </w:tr>
      <w:tr>
        <w:tblPrEx>
          <w:tblCellMar>
            <w:top w:w="0" w:type="dxa"/>
            <w:left w:w="108" w:type="dxa"/>
            <w:bottom w:w="0" w:type="dxa"/>
            <w:right w:w="108" w:type="dxa"/>
          </w:tblCellMar>
        </w:tblPrEx>
        <w:trPr>
          <w:trHeight w:val="410" w:hRule="atLeast"/>
        </w:trPr>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7</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Style w:val="29"/>
                <w:rFonts w:hint="eastAsia" w:ascii="仿宋_GB2312" w:hAnsi="仿宋_GB2312" w:eastAsia="仿宋_GB2312" w:cs="仿宋_GB2312"/>
                <w:color w:val="auto"/>
                <w:sz w:val="20"/>
                <w:szCs w:val="20"/>
                <w:highlight w:val="none"/>
                <w:lang w:eastAsia="zh-CN"/>
              </w:rPr>
              <w:t>博州</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50</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50</w:t>
            </w:r>
          </w:p>
        </w:tc>
        <w:tc>
          <w:tcPr>
            <w:tcW w:w="7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30</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3</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0</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133</w:t>
            </w:r>
          </w:p>
        </w:tc>
      </w:tr>
      <w:tr>
        <w:tblPrEx>
          <w:tblCellMar>
            <w:top w:w="0" w:type="dxa"/>
            <w:left w:w="108" w:type="dxa"/>
            <w:bottom w:w="0" w:type="dxa"/>
            <w:right w:w="108" w:type="dxa"/>
          </w:tblCellMar>
        </w:tblPrEx>
        <w:trPr>
          <w:trHeight w:val="400" w:hRule="atLeast"/>
        </w:trPr>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8</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Style w:val="29"/>
                <w:rFonts w:hint="eastAsia" w:ascii="仿宋_GB2312" w:hAnsi="仿宋_GB2312" w:eastAsia="仿宋_GB2312" w:cs="仿宋_GB2312"/>
                <w:color w:val="auto"/>
                <w:sz w:val="20"/>
                <w:szCs w:val="20"/>
                <w:highlight w:val="none"/>
                <w:lang w:eastAsia="zh-CN"/>
              </w:rPr>
              <w:t>昌吉州</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50</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60</w:t>
            </w:r>
          </w:p>
        </w:tc>
        <w:tc>
          <w:tcPr>
            <w:tcW w:w="7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90</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4</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0</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204</w:t>
            </w:r>
          </w:p>
        </w:tc>
      </w:tr>
      <w:tr>
        <w:tblPrEx>
          <w:tblCellMar>
            <w:top w:w="0" w:type="dxa"/>
            <w:left w:w="108" w:type="dxa"/>
            <w:bottom w:w="0" w:type="dxa"/>
            <w:right w:w="108" w:type="dxa"/>
          </w:tblCellMar>
        </w:tblPrEx>
        <w:trPr>
          <w:trHeight w:val="400" w:hRule="atLeast"/>
        </w:trPr>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9</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Style w:val="29"/>
                <w:rFonts w:hint="eastAsia" w:ascii="仿宋_GB2312" w:hAnsi="仿宋_GB2312" w:eastAsia="仿宋_GB2312" w:cs="仿宋_GB2312"/>
                <w:color w:val="auto"/>
                <w:sz w:val="20"/>
                <w:szCs w:val="20"/>
                <w:highlight w:val="none"/>
                <w:lang w:eastAsia="zh-CN"/>
              </w:rPr>
              <w:t>巴州</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0</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50</w:t>
            </w:r>
          </w:p>
        </w:tc>
        <w:tc>
          <w:tcPr>
            <w:tcW w:w="7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50</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4</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0</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104</w:t>
            </w:r>
          </w:p>
        </w:tc>
      </w:tr>
      <w:tr>
        <w:tblPrEx>
          <w:tblCellMar>
            <w:top w:w="0" w:type="dxa"/>
            <w:left w:w="108" w:type="dxa"/>
            <w:bottom w:w="0" w:type="dxa"/>
            <w:right w:w="108" w:type="dxa"/>
          </w:tblCellMar>
        </w:tblPrEx>
        <w:trPr>
          <w:trHeight w:val="400" w:hRule="atLeast"/>
        </w:trPr>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10</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Style w:val="29"/>
                <w:rFonts w:hint="eastAsia" w:ascii="仿宋_GB2312" w:hAnsi="仿宋_GB2312" w:eastAsia="仿宋_GB2312" w:cs="仿宋_GB2312"/>
                <w:color w:val="auto"/>
                <w:sz w:val="20"/>
                <w:szCs w:val="20"/>
                <w:highlight w:val="none"/>
                <w:lang w:eastAsia="zh-CN"/>
              </w:rPr>
              <w:t>阿克苏地区</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0</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80</w:t>
            </w:r>
          </w:p>
        </w:tc>
        <w:tc>
          <w:tcPr>
            <w:tcW w:w="7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45</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1.1</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0</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126.1</w:t>
            </w:r>
          </w:p>
        </w:tc>
      </w:tr>
      <w:tr>
        <w:tblPrEx>
          <w:tblCellMar>
            <w:top w:w="0" w:type="dxa"/>
            <w:left w:w="108" w:type="dxa"/>
            <w:bottom w:w="0" w:type="dxa"/>
            <w:right w:w="108" w:type="dxa"/>
          </w:tblCellMar>
        </w:tblPrEx>
        <w:trPr>
          <w:trHeight w:val="400" w:hRule="atLeast"/>
        </w:trPr>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11</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Style w:val="29"/>
                <w:rFonts w:hint="eastAsia" w:ascii="仿宋_GB2312" w:hAnsi="仿宋_GB2312" w:eastAsia="仿宋_GB2312" w:cs="仿宋_GB2312"/>
                <w:color w:val="auto"/>
                <w:sz w:val="20"/>
                <w:szCs w:val="20"/>
                <w:highlight w:val="none"/>
                <w:lang w:eastAsia="zh-CN"/>
              </w:rPr>
              <w:t>克州</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50</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50</w:t>
            </w:r>
          </w:p>
        </w:tc>
        <w:tc>
          <w:tcPr>
            <w:tcW w:w="7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35</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2.6</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0</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137.6</w:t>
            </w:r>
          </w:p>
        </w:tc>
      </w:tr>
      <w:tr>
        <w:tblPrEx>
          <w:tblCellMar>
            <w:top w:w="0" w:type="dxa"/>
            <w:left w:w="108" w:type="dxa"/>
            <w:bottom w:w="0" w:type="dxa"/>
            <w:right w:w="108" w:type="dxa"/>
          </w:tblCellMar>
        </w:tblPrEx>
        <w:trPr>
          <w:trHeight w:val="400" w:hRule="atLeast"/>
        </w:trPr>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12</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Style w:val="29"/>
                <w:rFonts w:hint="eastAsia" w:ascii="仿宋_GB2312" w:hAnsi="仿宋_GB2312" w:eastAsia="仿宋_GB2312" w:cs="仿宋_GB2312"/>
                <w:color w:val="auto"/>
                <w:sz w:val="20"/>
                <w:szCs w:val="20"/>
                <w:highlight w:val="none"/>
                <w:lang w:eastAsia="zh-CN"/>
              </w:rPr>
              <w:t>喀什地区</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80</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100</w:t>
            </w:r>
          </w:p>
        </w:tc>
        <w:tc>
          <w:tcPr>
            <w:tcW w:w="7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120</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4</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0</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304</w:t>
            </w:r>
          </w:p>
        </w:tc>
      </w:tr>
      <w:tr>
        <w:tblPrEx>
          <w:tblCellMar>
            <w:top w:w="0" w:type="dxa"/>
            <w:left w:w="108" w:type="dxa"/>
            <w:bottom w:w="0" w:type="dxa"/>
            <w:right w:w="108" w:type="dxa"/>
          </w:tblCellMar>
        </w:tblPrEx>
        <w:trPr>
          <w:trHeight w:val="400" w:hRule="atLeast"/>
        </w:trPr>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13</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Style w:val="29"/>
                <w:rFonts w:hint="eastAsia" w:ascii="仿宋_GB2312" w:hAnsi="仿宋_GB2312" w:eastAsia="仿宋_GB2312" w:cs="仿宋_GB2312"/>
                <w:color w:val="auto"/>
                <w:sz w:val="20"/>
                <w:szCs w:val="20"/>
                <w:highlight w:val="none"/>
                <w:lang w:eastAsia="zh-CN"/>
              </w:rPr>
              <w:t>和田地区</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0</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60</w:t>
            </w:r>
          </w:p>
        </w:tc>
        <w:tc>
          <w:tcPr>
            <w:tcW w:w="7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50</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1.3</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0</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111.3</w:t>
            </w:r>
          </w:p>
        </w:tc>
      </w:tr>
      <w:tr>
        <w:tblPrEx>
          <w:tblCellMar>
            <w:top w:w="0" w:type="dxa"/>
            <w:left w:w="108" w:type="dxa"/>
            <w:bottom w:w="0" w:type="dxa"/>
            <w:right w:w="108" w:type="dxa"/>
          </w:tblCellMar>
        </w:tblPrEx>
        <w:trPr>
          <w:trHeight w:val="400" w:hRule="atLeast"/>
        </w:trPr>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14</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Style w:val="29"/>
                <w:rFonts w:hint="eastAsia" w:ascii="仿宋_GB2312" w:hAnsi="仿宋_GB2312" w:eastAsia="仿宋_GB2312" w:cs="仿宋_GB2312"/>
                <w:color w:val="auto"/>
                <w:sz w:val="20"/>
                <w:szCs w:val="20"/>
                <w:highlight w:val="none"/>
                <w:lang w:eastAsia="zh-CN"/>
              </w:rPr>
              <w:t>吐鲁番市</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50</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50</w:t>
            </w:r>
          </w:p>
        </w:tc>
        <w:tc>
          <w:tcPr>
            <w:tcW w:w="7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35</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2.7</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0</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137.7</w:t>
            </w:r>
          </w:p>
        </w:tc>
      </w:tr>
      <w:tr>
        <w:tblPrEx>
          <w:tblCellMar>
            <w:top w:w="0" w:type="dxa"/>
            <w:left w:w="108" w:type="dxa"/>
            <w:bottom w:w="0" w:type="dxa"/>
            <w:right w:w="108" w:type="dxa"/>
          </w:tblCellMar>
        </w:tblPrEx>
        <w:trPr>
          <w:trHeight w:val="395" w:hRule="atLeast"/>
        </w:trPr>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15</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Style w:val="29"/>
                <w:rFonts w:hint="eastAsia" w:ascii="仿宋_GB2312" w:hAnsi="仿宋_GB2312" w:eastAsia="仿宋_GB2312" w:cs="仿宋_GB2312"/>
                <w:color w:val="auto"/>
                <w:sz w:val="20"/>
                <w:szCs w:val="20"/>
                <w:highlight w:val="none"/>
                <w:lang w:eastAsia="zh-CN"/>
              </w:rPr>
              <w:t>哈密市</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20</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50</w:t>
            </w:r>
          </w:p>
        </w:tc>
        <w:tc>
          <w:tcPr>
            <w:tcW w:w="70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45</w:t>
            </w:r>
          </w:p>
        </w:tc>
        <w:tc>
          <w:tcPr>
            <w:tcW w:w="6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4</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0</w:t>
            </w:r>
          </w:p>
        </w:tc>
        <w:tc>
          <w:tcPr>
            <w:tcW w:w="6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119</w:t>
            </w:r>
          </w:p>
        </w:tc>
      </w:tr>
    </w:tbl>
    <w:p>
      <w:pPr>
        <w:pStyle w:val="7"/>
        <w:adjustRightInd/>
        <w:spacing w:line="560" w:lineRule="exact"/>
        <w:jc w:val="both"/>
        <w:rPr>
          <w:rFonts w:ascii="仿宋_GB2312" w:hAnsi="仿宋_GB2312" w:eastAsia="仿宋_GB2312" w:cs="仿宋_GB2312"/>
          <w:color w:val="auto"/>
          <w:spacing w:val="-3"/>
          <w:highlight w:val="none"/>
          <w:lang w:eastAsia="zh-CN"/>
        </w:rPr>
      </w:pPr>
    </w:p>
    <w:p>
      <w:pPr>
        <w:pStyle w:val="7"/>
        <w:adjustRightInd/>
        <w:spacing w:line="560" w:lineRule="exact"/>
        <w:jc w:val="both"/>
        <w:rPr>
          <w:rFonts w:ascii="仿宋_GB2312" w:hAnsi="仿宋_GB2312" w:eastAsia="仿宋_GB2312" w:cs="仿宋_GB2312"/>
          <w:b/>
          <w:bCs/>
          <w:color w:val="auto"/>
          <w:spacing w:val="-5"/>
          <w:sz w:val="32"/>
          <w:szCs w:val="32"/>
          <w:highlight w:val="none"/>
          <w:lang w:eastAsia="zh-CN"/>
        </w:rPr>
      </w:pPr>
      <w:r>
        <w:rPr>
          <w:rFonts w:hint="eastAsia" w:ascii="仿宋_GB2312" w:hAnsi="仿宋_GB2312" w:eastAsia="仿宋_GB2312" w:cs="仿宋_GB2312"/>
          <w:b/>
          <w:bCs/>
          <w:color w:val="auto"/>
          <w:spacing w:val="-3"/>
          <w:sz w:val="32"/>
          <w:szCs w:val="32"/>
          <w:highlight w:val="none"/>
          <w:lang w:val="en-US" w:eastAsia="zh-CN"/>
        </w:rPr>
        <w:t>2、</w:t>
      </w:r>
      <w:r>
        <w:rPr>
          <w:rFonts w:hint="eastAsia" w:ascii="仿宋_GB2312" w:hAnsi="仿宋_GB2312" w:eastAsia="仿宋_GB2312" w:cs="仿宋_GB2312"/>
          <w:b/>
          <w:bCs/>
          <w:color w:val="auto"/>
          <w:spacing w:val="-3"/>
          <w:sz w:val="32"/>
          <w:szCs w:val="32"/>
          <w:highlight w:val="none"/>
          <w:lang w:val="en-US" w:eastAsia="zh-CN"/>
        </w:rPr>
        <w:t>自</w:t>
      </w:r>
      <w:r>
        <w:rPr>
          <w:rFonts w:hint="eastAsia" w:ascii="仿宋_GB2312" w:hAnsi="仿宋_GB2312" w:eastAsia="仿宋_GB2312" w:cs="仿宋_GB2312"/>
          <w:b/>
          <w:bCs/>
          <w:color w:val="auto"/>
          <w:spacing w:val="-3"/>
          <w:sz w:val="32"/>
          <w:szCs w:val="32"/>
          <w:highlight w:val="none"/>
          <w:lang w:eastAsia="zh-CN"/>
        </w:rPr>
        <w:t>治区分</w:t>
      </w:r>
      <w:r>
        <w:rPr>
          <w:rFonts w:hint="eastAsia" w:ascii="仿宋_GB2312" w:hAnsi="仿宋_GB2312" w:eastAsia="仿宋_GB2312" w:cs="仿宋_GB2312"/>
          <w:b/>
          <w:bCs/>
          <w:color w:val="auto"/>
          <w:spacing w:val="-3"/>
          <w:sz w:val="32"/>
          <w:szCs w:val="32"/>
          <w:highlight w:val="none"/>
          <w:lang w:eastAsia="zh-CN"/>
        </w:rPr>
        <w:t>解下达绩效目标情况</w:t>
      </w:r>
    </w:p>
    <w:p>
      <w:pPr>
        <w:adjustRightInd/>
        <w:spacing w:line="560" w:lineRule="exact"/>
        <w:ind w:firstLine="620" w:firstLineChars="200"/>
        <w:jc w:val="both"/>
        <w:outlineLvl w:val="0"/>
        <w:rPr>
          <w:rFonts w:ascii="仿宋_GB2312" w:hAnsi="仿宋_GB2312" w:eastAsia="仿宋_GB2312" w:cs="仿宋_GB2312"/>
          <w:color w:val="auto"/>
          <w:spacing w:val="-5"/>
          <w:sz w:val="32"/>
          <w:szCs w:val="32"/>
          <w:highlight w:val="none"/>
          <w:lang w:eastAsia="zh-CN"/>
        </w:rPr>
      </w:pPr>
      <w:r>
        <w:rPr>
          <w:rFonts w:hint="eastAsia" w:ascii="仿宋_GB2312" w:hAnsi="仿宋_GB2312" w:eastAsia="仿宋_GB2312" w:cs="仿宋_GB2312"/>
          <w:color w:val="auto"/>
          <w:spacing w:val="-5"/>
          <w:sz w:val="32"/>
          <w:szCs w:val="32"/>
          <w:highlight w:val="none"/>
          <w:lang w:eastAsia="zh-CN"/>
        </w:rPr>
        <w:t>自治区分解下达的区域绩效目标表，共15个统筹地区，分别为:自治区本级、乌鲁木齐市、克拉玛依市、伊犁州、塔城地区、阿勒泰地区、博州、昌吉州、巴州、阿克苏地区、克州、喀什地区、和田地区、吐鲁番市、哈密市。</w:t>
      </w:r>
    </w:p>
    <w:p>
      <w:pPr>
        <w:adjustRightInd/>
        <w:spacing w:line="560" w:lineRule="exact"/>
        <w:ind w:firstLine="620" w:firstLineChars="200"/>
        <w:jc w:val="both"/>
        <w:outlineLvl w:val="0"/>
        <w:rPr>
          <w:rFonts w:hint="eastAsia" w:ascii="仿宋_GB2312" w:hAnsi="仿宋_GB2312" w:eastAsia="仿宋_GB2312" w:cs="仿宋_GB2312"/>
          <w:color w:val="auto"/>
          <w:spacing w:val="-5"/>
          <w:sz w:val="32"/>
          <w:szCs w:val="32"/>
          <w:highlight w:val="none"/>
          <w:lang w:eastAsia="zh-CN"/>
        </w:rPr>
      </w:pPr>
      <w:r>
        <w:rPr>
          <w:rFonts w:hint="eastAsia" w:ascii="仿宋_GB2312" w:hAnsi="仿宋_GB2312" w:eastAsia="仿宋_GB2312" w:cs="仿宋_GB2312"/>
          <w:color w:val="auto"/>
          <w:spacing w:val="-5"/>
          <w:sz w:val="32"/>
          <w:szCs w:val="32"/>
          <w:highlight w:val="none"/>
          <w:lang w:eastAsia="zh-CN"/>
        </w:rPr>
        <w:t>具体绩效目标如下:</w:t>
      </w:r>
    </w:p>
    <w:p>
      <w:pPr>
        <w:pStyle w:val="38"/>
        <w:rPr>
          <w:color w:val="auto"/>
          <w:highlight w:val="none"/>
          <w:lang w:eastAsia="zh-CN"/>
        </w:rPr>
      </w:pPr>
    </w:p>
    <w:tbl>
      <w:tblPr>
        <w:tblStyle w:val="14"/>
        <w:tblW w:w="872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90"/>
        <w:gridCol w:w="1192"/>
        <w:gridCol w:w="443"/>
        <w:gridCol w:w="816"/>
        <w:gridCol w:w="1642"/>
        <w:gridCol w:w="977"/>
        <w:gridCol w:w="590"/>
        <w:gridCol w:w="503"/>
        <w:gridCol w:w="15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726" w:type="dxa"/>
            <w:gridSpan w:val="9"/>
            <w:tcBorders>
              <w:top w:val="nil"/>
              <w:left w:val="nil"/>
              <w:bottom w:val="nil"/>
              <w:right w:val="nil"/>
            </w:tcBorders>
            <w:shd w:val="clear" w:color="auto" w:fill="auto"/>
            <w:vAlign w:val="top"/>
          </w:tcPr>
          <w:p>
            <w:pPr>
              <w:jc w:val="center"/>
              <w:textAlignment w:val="center"/>
              <w:rPr>
                <w:rFonts w:ascii="宋体" w:hAnsi="宋体" w:eastAsia="宋体" w:cs="宋体"/>
                <w:b/>
                <w:bCs/>
                <w:i w:val="0"/>
                <w:iCs w:val="0"/>
                <w:color w:val="auto"/>
                <w:sz w:val="26"/>
                <w:szCs w:val="26"/>
                <w:highlight w:val="none"/>
                <w:u w:val="none"/>
              </w:rPr>
            </w:pPr>
            <w:r>
              <w:rPr>
                <w:rFonts w:hint="eastAsia" w:ascii="仿宋_GB2312" w:hAnsi="仿宋_GB2312" w:eastAsia="仿宋_GB2312" w:cs="仿宋_GB2312"/>
                <w:b/>
                <w:bCs/>
                <w:color w:val="auto"/>
                <w:sz w:val="32"/>
                <w:szCs w:val="32"/>
                <w:highlight w:val="none"/>
                <w:lang w:val="en-US" w:eastAsia="zh-CN"/>
              </w:rPr>
              <w:t>项 目 支 出 绩 效 目 标 表 ( 自治区本级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726" w:type="dxa"/>
            <w:gridSpan w:val="9"/>
            <w:tcBorders>
              <w:top w:val="nil"/>
              <w:left w:val="nil"/>
              <w:bottom w:val="single" w:color="auto" w:sz="4" w:space="0"/>
              <w:right w:val="nil"/>
            </w:tcBorders>
            <w:shd w:val="clear" w:color="auto" w:fill="auto"/>
            <w:vAlign w:val="top"/>
          </w:tcPr>
          <w:p>
            <w:pPr>
              <w:jc w:val="center"/>
              <w:textAlignment w:val="center"/>
              <w:rPr>
                <w:rFonts w:ascii="Arial" w:hAnsi="Arial" w:cs="Arial"/>
                <w:b/>
                <w:bCs/>
                <w:i w:val="0"/>
                <w:iCs w:val="0"/>
                <w:color w:val="auto"/>
                <w:sz w:val="22"/>
                <w:szCs w:val="22"/>
                <w:highlight w:val="none"/>
                <w:u w:val="none"/>
              </w:rPr>
            </w:pPr>
            <w:r>
              <w:rPr>
                <w:rStyle w:val="25"/>
                <w:rFonts w:hint="eastAsia" w:ascii="仿宋_GB2312" w:hAnsi="仿宋_GB2312" w:eastAsia="仿宋_GB2312" w:cs="仿宋_GB2312"/>
                <w:b w:val="0"/>
                <w:bCs w:val="0"/>
                <w:color w:val="auto"/>
                <w:sz w:val="24"/>
                <w:szCs w:val="24"/>
                <w:highlight w:val="none"/>
                <w:lang w:val="en-US" w:eastAsia="zh-CN"/>
              </w:rPr>
              <w:t xml:space="preserve">  (2024年)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998" w:type="dxa"/>
            <w:tcBorders>
              <w:top w:val="single" w:color="auto" w:sz="4" w:space="0"/>
              <w:left w:val="single" w:color="auto"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预算单位</w:t>
            </w:r>
          </w:p>
        </w:tc>
        <w:tc>
          <w:tcPr>
            <w:tcW w:w="4059" w:type="dxa"/>
            <w:gridSpan w:val="4"/>
            <w:tcBorders>
              <w:top w:val="single" w:color="auto" w:sz="4" w:space="0"/>
              <w:left w:val="single" w:color="000000" w:sz="4" w:space="0"/>
              <w:bottom w:val="single" w:color="000000" w:sz="4" w:space="0"/>
              <w:right w:val="single" w:color="000000" w:sz="4" w:space="0"/>
            </w:tcBorders>
            <w:shd w:val="clear" w:color="auto" w:fill="auto"/>
            <w:vAlign w:val="center"/>
          </w:tcPr>
          <w:p>
            <w:pPr>
              <w:jc w:val="both"/>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新疆维吾尔自治区医疗保障局</w:t>
            </w:r>
          </w:p>
        </w:tc>
        <w:tc>
          <w:tcPr>
            <w:tcW w:w="980"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项目名称</w:t>
            </w:r>
          </w:p>
        </w:tc>
        <w:tc>
          <w:tcPr>
            <w:tcW w:w="2689" w:type="dxa"/>
            <w:gridSpan w:val="3"/>
            <w:tcBorders>
              <w:top w:val="single" w:color="auto" w:sz="4" w:space="0"/>
              <w:left w:val="single" w:color="000000" w:sz="4" w:space="0"/>
              <w:bottom w:val="single" w:color="000000"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医保能力提升经费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998"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项目资金</w:t>
            </w:r>
            <w:r>
              <w:rPr>
                <w:rFonts w:hint="eastAsia" w:ascii="仿宋_GB2312" w:hAnsi="仿宋_GB2312" w:eastAsia="仿宋_GB2312" w:cs="仿宋_GB2312"/>
                <w:color w:val="auto"/>
                <w:sz w:val="20"/>
                <w:szCs w:val="20"/>
                <w:highlight w:val="none"/>
                <w:lang w:val="en-US" w:eastAsia="zh-CN"/>
              </w:rPr>
              <w:br w:type="textWrapping"/>
            </w:r>
            <w:r>
              <w:rPr>
                <w:rFonts w:hint="eastAsia" w:ascii="仿宋_GB2312" w:hAnsi="仿宋_GB2312" w:eastAsia="仿宋_GB2312" w:cs="仿宋_GB2312"/>
                <w:color w:val="auto"/>
                <w:sz w:val="20"/>
                <w:szCs w:val="20"/>
                <w:highlight w:val="none"/>
                <w:lang w:val="en-US" w:eastAsia="zh-CN"/>
              </w:rPr>
              <w:t>(万元)</w:t>
            </w:r>
          </w:p>
        </w:tc>
        <w:tc>
          <w:tcPr>
            <w:tcW w:w="16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年度资金总额：</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 xml:space="preserve">6122.7 </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其中：财政拨款</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 xml:space="preserve">6122.7 </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其他资金</w:t>
            </w:r>
          </w:p>
        </w:tc>
        <w:tc>
          <w:tcPr>
            <w:tcW w:w="1585" w:type="dxa"/>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0" w:hRule="atLeast"/>
        </w:trPr>
        <w:tc>
          <w:tcPr>
            <w:tcW w:w="998"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项目总体目标</w:t>
            </w:r>
          </w:p>
        </w:tc>
        <w:tc>
          <w:tcPr>
            <w:tcW w:w="7728" w:type="dxa"/>
            <w:gridSpan w:val="8"/>
            <w:tcBorders>
              <w:top w:val="single" w:color="000000" w:sz="4" w:space="0"/>
              <w:left w:val="single" w:color="000000" w:sz="4" w:space="0"/>
              <w:bottom w:val="single" w:color="000000" w:sz="4" w:space="0"/>
              <w:right w:val="single" w:color="auto" w:sz="4" w:space="0"/>
            </w:tcBorders>
            <w:shd w:val="clear" w:color="auto" w:fill="auto"/>
            <w:vAlign w:val="center"/>
          </w:tcPr>
          <w:p>
            <w:pPr>
              <w:jc w:val="both"/>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目标1:组织开展以“岗位练兵优服务，业务比武强规范”为主题的全地区医保经办系统练兵比武活动，通过练兵比武活动，为经办干部搭建补短板、强弱项、比技能的平合。</w:t>
            </w:r>
            <w:r>
              <w:rPr>
                <w:rFonts w:hint="eastAsia" w:ascii="仿宋_GB2312" w:hAnsi="仿宋_GB2312" w:eastAsia="仿宋_GB2312" w:cs="仿宋_GB2312"/>
                <w:color w:val="auto"/>
                <w:sz w:val="20"/>
                <w:szCs w:val="20"/>
                <w:highlight w:val="none"/>
                <w:lang w:val="en-US" w:eastAsia="zh-CN"/>
              </w:rPr>
              <w:br w:type="textWrapping"/>
            </w:r>
            <w:r>
              <w:rPr>
                <w:rFonts w:hint="eastAsia" w:ascii="仿宋_GB2312" w:hAnsi="仿宋_GB2312" w:eastAsia="仿宋_GB2312" w:cs="仿宋_GB2312"/>
                <w:color w:val="auto"/>
                <w:sz w:val="20"/>
                <w:szCs w:val="20"/>
                <w:highlight w:val="none"/>
                <w:lang w:val="en-US" w:eastAsia="zh-CN"/>
              </w:rPr>
              <w:t>目标2:重点围绕“参保如何办、得病找谁看、病重怎么转、报销如何办”等群众关心的热点问题进行宣传和解读，进一步提高参保群众对医保政策的知晓率。</w:t>
            </w:r>
            <w:r>
              <w:rPr>
                <w:rFonts w:hint="eastAsia" w:ascii="仿宋_GB2312" w:hAnsi="仿宋_GB2312" w:eastAsia="仿宋_GB2312" w:cs="仿宋_GB2312"/>
                <w:color w:val="auto"/>
                <w:sz w:val="20"/>
                <w:szCs w:val="20"/>
                <w:highlight w:val="none"/>
                <w:lang w:val="en-US" w:eastAsia="zh-CN"/>
              </w:rPr>
              <w:br w:type="textWrapping"/>
            </w:r>
            <w:r>
              <w:rPr>
                <w:rFonts w:hint="eastAsia" w:ascii="仿宋_GB2312" w:hAnsi="仿宋_GB2312" w:eastAsia="仿宋_GB2312" w:cs="仿宋_GB2312"/>
                <w:color w:val="auto"/>
                <w:sz w:val="20"/>
                <w:szCs w:val="20"/>
                <w:highlight w:val="none"/>
                <w:lang w:val="en-US" w:eastAsia="zh-CN"/>
              </w:rPr>
              <w:t>目标3:根据自治区DRG/DIP支付方式改革三年行动计划部署要求，逐步提高统筹地区、医疗机构、病种分组、医保基金覆盖率。统筹地区医疗机构覆盖面：2024年底实现全覆盖。统筹地区病种覆盖面：2024年底实现入组率达到90%以上。</w:t>
            </w:r>
            <w:r>
              <w:rPr>
                <w:rFonts w:hint="eastAsia" w:ascii="仿宋_GB2312" w:hAnsi="仿宋_GB2312" w:eastAsia="仿宋_GB2312" w:cs="仿宋_GB2312"/>
                <w:color w:val="auto"/>
                <w:sz w:val="20"/>
                <w:szCs w:val="20"/>
                <w:highlight w:val="none"/>
                <w:lang w:val="en-US" w:eastAsia="zh-CN"/>
              </w:rPr>
              <w:br w:type="textWrapping"/>
            </w:r>
            <w:r>
              <w:rPr>
                <w:rFonts w:hint="eastAsia" w:ascii="仿宋_GB2312" w:hAnsi="仿宋_GB2312" w:eastAsia="仿宋_GB2312" w:cs="仿宋_GB2312"/>
                <w:color w:val="auto"/>
                <w:sz w:val="20"/>
                <w:szCs w:val="20"/>
                <w:highlight w:val="none"/>
                <w:lang w:val="en-US" w:eastAsia="zh-CN"/>
              </w:rPr>
              <w:t>目标4:加强自治区医疗保障信用体系建设，健全守信激励与失信惩戒机制，营造诚实、自律、守信、互信的信用环境。在全区范围内选取2至3个统筹区开展信用体系建设工作；完善日常巡查、专项检查、飞行检查等多种形式检查制度和工作流程，确保规范执法。健全上下联动机制，落实属地管理，形成自治区飞行检查、地区抽查复查、县市现场检查全覆盖、定点医药机构自查常态化监督检查工作格局。</w:t>
            </w:r>
            <w:r>
              <w:rPr>
                <w:rFonts w:hint="eastAsia" w:ascii="仿宋_GB2312" w:hAnsi="仿宋_GB2312" w:eastAsia="仿宋_GB2312" w:cs="仿宋_GB2312"/>
                <w:color w:val="auto"/>
                <w:sz w:val="20"/>
                <w:szCs w:val="20"/>
                <w:highlight w:val="none"/>
                <w:lang w:val="en-US" w:eastAsia="zh-CN"/>
              </w:rPr>
              <w:br w:type="textWrapping"/>
            </w:r>
            <w:r>
              <w:rPr>
                <w:rFonts w:hint="eastAsia" w:ascii="仿宋_GB2312" w:hAnsi="仿宋_GB2312" w:eastAsia="仿宋_GB2312" w:cs="仿宋_GB2312"/>
                <w:color w:val="auto"/>
                <w:sz w:val="20"/>
                <w:szCs w:val="20"/>
                <w:highlight w:val="none"/>
                <w:lang w:val="en-US" w:eastAsia="zh-CN"/>
              </w:rPr>
              <w:t>目标5:根据《社会保险经办条例》、国家医疗保障局《关于开展数据两结合三赋能试点工作的通知》的重要部暑，结合《自治区数字政府改革建设方案》和《新疆维吾尔自治区医疗保障“十四五”规划》,充分发挥医保数据价值，深化医保数据应用赋能，提升医保数据赋能医保改革、管理和服务能力，实现医保数据纵向有效贯通、横向有序共享，系统业务有机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trPr>
        <w:tc>
          <w:tcPr>
            <w:tcW w:w="998"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一级指标</w:t>
            </w:r>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二级指标</w:t>
            </w:r>
          </w:p>
        </w:tc>
        <w:tc>
          <w:tcPr>
            <w:tcW w:w="44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三级指标</w:t>
            </w:r>
          </w:p>
        </w:tc>
        <w:tc>
          <w:tcPr>
            <w:tcW w:w="2093"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98"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产出指标</w:t>
            </w:r>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数量指标</w:t>
            </w:r>
          </w:p>
        </w:tc>
        <w:tc>
          <w:tcPr>
            <w:tcW w:w="44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租赁演播厅场地数量</w:t>
            </w:r>
          </w:p>
        </w:tc>
        <w:tc>
          <w:tcPr>
            <w:tcW w:w="2093"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&gt;=1个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98"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数量指标</w:t>
            </w:r>
          </w:p>
        </w:tc>
        <w:tc>
          <w:tcPr>
            <w:tcW w:w="44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练兵比武参赛地州数量</w:t>
            </w:r>
          </w:p>
        </w:tc>
        <w:tc>
          <w:tcPr>
            <w:tcW w:w="2093"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&gt;=14个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98"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数量指标</w:t>
            </w:r>
          </w:p>
        </w:tc>
        <w:tc>
          <w:tcPr>
            <w:tcW w:w="44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全区医疗经办系统练兵比武拍摄宣传片数量</w:t>
            </w:r>
          </w:p>
        </w:tc>
        <w:tc>
          <w:tcPr>
            <w:tcW w:w="2093"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&gt;=2部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98"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数量指标</w:t>
            </w:r>
          </w:p>
        </w:tc>
        <w:tc>
          <w:tcPr>
            <w:tcW w:w="44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租用乌鲁木齐国际机场LED电子大屏发布医保政策</w:t>
            </w:r>
          </w:p>
        </w:tc>
        <w:tc>
          <w:tcPr>
            <w:tcW w:w="2093"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&gt;=3个月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98"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数量指标</w:t>
            </w:r>
          </w:p>
        </w:tc>
        <w:tc>
          <w:tcPr>
            <w:tcW w:w="44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租用乌鲁木齐公交尾窗LED屏发布医保政策</w:t>
            </w:r>
          </w:p>
        </w:tc>
        <w:tc>
          <w:tcPr>
            <w:tcW w:w="2093"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&gt;=3个月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98"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数量指标</w:t>
            </w:r>
          </w:p>
        </w:tc>
        <w:tc>
          <w:tcPr>
            <w:tcW w:w="44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与新疆电视台合作制作短片，每个短片1分半钟时间，均在央视新闻频道播出</w:t>
            </w:r>
          </w:p>
        </w:tc>
        <w:tc>
          <w:tcPr>
            <w:tcW w:w="2093"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&gt;=3个短片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98"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数量指标</w:t>
            </w:r>
          </w:p>
        </w:tc>
        <w:tc>
          <w:tcPr>
            <w:tcW w:w="44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印制《新疆医保问答手册(2023年)》</w:t>
            </w:r>
          </w:p>
        </w:tc>
        <w:tc>
          <w:tcPr>
            <w:tcW w:w="2093"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&gt;=2万本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98"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数量指标</w:t>
            </w:r>
          </w:p>
        </w:tc>
        <w:tc>
          <w:tcPr>
            <w:tcW w:w="44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档案数字化管理</w:t>
            </w:r>
          </w:p>
        </w:tc>
        <w:tc>
          <w:tcPr>
            <w:tcW w:w="2093"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&gt;=32万页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98"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数量指标</w:t>
            </w:r>
          </w:p>
        </w:tc>
        <w:tc>
          <w:tcPr>
            <w:tcW w:w="44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2024年底实现统筹地区病种覆盖入组率</w:t>
            </w:r>
          </w:p>
        </w:tc>
        <w:tc>
          <w:tcPr>
            <w:tcW w:w="2093"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&gt;=90%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98"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数量指标</w:t>
            </w:r>
          </w:p>
        </w:tc>
        <w:tc>
          <w:tcPr>
            <w:tcW w:w="44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在全区范围内选取2至3个统筹区开展信用体系建设工作</w:t>
            </w:r>
          </w:p>
        </w:tc>
        <w:tc>
          <w:tcPr>
            <w:tcW w:w="2093"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&gt;=2次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98"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数量指标</w:t>
            </w:r>
          </w:p>
        </w:tc>
        <w:tc>
          <w:tcPr>
            <w:tcW w:w="44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对全区14个统筹区开展飞行检查的覆盖率</w:t>
            </w:r>
          </w:p>
        </w:tc>
        <w:tc>
          <w:tcPr>
            <w:tcW w:w="2093"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&gt;=90%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98"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数量指标</w:t>
            </w:r>
          </w:p>
        </w:tc>
        <w:tc>
          <w:tcPr>
            <w:tcW w:w="44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“两结合三赋能”覆盖医保云基础资源</w:t>
            </w:r>
          </w:p>
        </w:tc>
        <w:tc>
          <w:tcPr>
            <w:tcW w:w="2093"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&gt;=95%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98"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数量指标</w:t>
            </w:r>
          </w:p>
        </w:tc>
        <w:tc>
          <w:tcPr>
            <w:tcW w:w="44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“两结合三赋能”联系点数据应用覆盖率</w:t>
            </w:r>
          </w:p>
        </w:tc>
        <w:tc>
          <w:tcPr>
            <w:tcW w:w="2093"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&gt;=95%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98"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质量指标</w:t>
            </w:r>
          </w:p>
        </w:tc>
        <w:tc>
          <w:tcPr>
            <w:tcW w:w="44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符合国家局“两结合三赋能”方案</w:t>
            </w:r>
          </w:p>
        </w:tc>
        <w:tc>
          <w:tcPr>
            <w:tcW w:w="2093"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符合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98"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时效指标</w:t>
            </w:r>
          </w:p>
        </w:tc>
        <w:tc>
          <w:tcPr>
            <w:tcW w:w="44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全区医疗经办系统练兵比武决赛完成时间</w:t>
            </w:r>
          </w:p>
        </w:tc>
        <w:tc>
          <w:tcPr>
            <w:tcW w:w="2093"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2024年3月31日前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98"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时效指标</w:t>
            </w:r>
          </w:p>
        </w:tc>
        <w:tc>
          <w:tcPr>
            <w:tcW w:w="44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完成年度各类监督检查任务</w:t>
            </w:r>
          </w:p>
        </w:tc>
        <w:tc>
          <w:tcPr>
            <w:tcW w:w="2093"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2024年12月31日前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98"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时效指标</w:t>
            </w:r>
          </w:p>
        </w:tc>
        <w:tc>
          <w:tcPr>
            <w:tcW w:w="44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“两结合三赋能”数智工程建设咨询现场响应</w:t>
            </w:r>
          </w:p>
        </w:tc>
        <w:tc>
          <w:tcPr>
            <w:tcW w:w="2093"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&lt;=30分钟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98"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成本指标</w:t>
            </w:r>
          </w:p>
        </w:tc>
        <w:tc>
          <w:tcPr>
            <w:tcW w:w="44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“两结合三赋能”数智工程建设技术服务成本</w:t>
            </w:r>
          </w:p>
        </w:tc>
        <w:tc>
          <w:tcPr>
            <w:tcW w:w="2093"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&lt;=4980万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98"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效益指标</w:t>
            </w:r>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社会效益指标</w:t>
            </w:r>
          </w:p>
        </w:tc>
        <w:tc>
          <w:tcPr>
            <w:tcW w:w="44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提升全区经办队伍能力，提高经办服务水平</w:t>
            </w:r>
          </w:p>
        </w:tc>
        <w:tc>
          <w:tcPr>
            <w:tcW w:w="2093"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有效提升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98"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可持续影响指标</w:t>
            </w:r>
          </w:p>
        </w:tc>
        <w:tc>
          <w:tcPr>
            <w:tcW w:w="44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系统可拓展性及灵活性</w:t>
            </w:r>
          </w:p>
        </w:tc>
        <w:tc>
          <w:tcPr>
            <w:tcW w:w="2093"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基于HSAF技术框架有效支持弹性扩展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998"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满意度指标</w:t>
            </w:r>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满意度指标</w:t>
            </w:r>
          </w:p>
        </w:tc>
        <w:tc>
          <w:tcPr>
            <w:tcW w:w="44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医保统筹区数据应用满意度</w:t>
            </w:r>
          </w:p>
        </w:tc>
        <w:tc>
          <w:tcPr>
            <w:tcW w:w="2093"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&gt;=90%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998" w:type="dxa"/>
            <w:vMerge w:val="continue"/>
            <w:tcBorders>
              <w:top w:val="single" w:color="000000" w:sz="4" w:space="0"/>
              <w:left w:val="single" w:color="auto" w:sz="4" w:space="0"/>
              <w:bottom w:val="single" w:color="auto"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p>
        </w:tc>
        <w:tc>
          <w:tcPr>
            <w:tcW w:w="1203"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满意度指标</w:t>
            </w:r>
          </w:p>
        </w:tc>
        <w:tc>
          <w:tcPr>
            <w:tcW w:w="4432" w:type="dxa"/>
            <w:gridSpan w:val="5"/>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参赛地州满意度</w:t>
            </w:r>
          </w:p>
        </w:tc>
        <w:tc>
          <w:tcPr>
            <w:tcW w:w="2093" w:type="dxa"/>
            <w:gridSpan w:val="2"/>
            <w:tcBorders>
              <w:top w:val="single" w:color="000000" w:sz="4" w:space="0"/>
              <w:left w:val="single" w:color="000000" w:sz="4" w:space="0"/>
              <w:bottom w:val="single" w:color="auto" w:sz="4" w:space="0"/>
              <w:right w:val="single" w:color="auto"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val="en-US" w:eastAsia="zh-CN"/>
              </w:rPr>
              <w:t>&gt;=90%</w:t>
            </w:r>
          </w:p>
        </w:tc>
      </w:tr>
    </w:tbl>
    <w:p>
      <w:pPr>
        <w:pStyle w:val="38"/>
        <w:jc w:val="both"/>
        <w:rPr>
          <w:color w:val="auto"/>
          <w:highlight w:val="none"/>
          <w:lang w:eastAsia="zh-CN"/>
        </w:rPr>
      </w:pPr>
    </w:p>
    <w:p>
      <w:pPr>
        <w:pStyle w:val="38"/>
        <w:jc w:val="both"/>
        <w:rPr>
          <w:color w:val="auto"/>
          <w:highlight w:val="none"/>
          <w:lang w:eastAsia="zh-CN"/>
        </w:rPr>
      </w:pPr>
    </w:p>
    <w:tbl>
      <w:tblPr>
        <w:tblStyle w:val="14"/>
        <w:tblW w:w="5000" w:type="pct"/>
        <w:tblInd w:w="0" w:type="dxa"/>
        <w:tblLayout w:type="autofit"/>
        <w:tblCellMar>
          <w:top w:w="0" w:type="dxa"/>
          <w:left w:w="108" w:type="dxa"/>
          <w:bottom w:w="0" w:type="dxa"/>
          <w:right w:w="108" w:type="dxa"/>
        </w:tblCellMar>
      </w:tblPr>
      <w:tblGrid>
        <w:gridCol w:w="528"/>
        <w:gridCol w:w="1172"/>
        <w:gridCol w:w="1189"/>
        <w:gridCol w:w="3302"/>
        <w:gridCol w:w="1346"/>
        <w:gridCol w:w="1411"/>
      </w:tblGrid>
      <w:tr>
        <w:tblPrEx>
          <w:tblCellMar>
            <w:top w:w="0" w:type="dxa"/>
            <w:left w:w="108" w:type="dxa"/>
            <w:bottom w:w="0" w:type="dxa"/>
            <w:right w:w="108" w:type="dxa"/>
          </w:tblCellMar>
        </w:tblPrEx>
        <w:trPr>
          <w:trHeight w:val="750" w:hRule="atLeast"/>
        </w:trPr>
        <w:tc>
          <w:tcPr>
            <w:tcW w:w="5000" w:type="pct"/>
            <w:gridSpan w:val="6"/>
            <w:tcBorders>
              <w:top w:val="nil"/>
              <w:left w:val="nil"/>
              <w:bottom w:val="nil"/>
              <w:right w:val="nil"/>
            </w:tcBorders>
            <w:shd w:val="clear" w:color="auto" w:fill="auto"/>
            <w:vAlign w:val="center"/>
          </w:tcPr>
          <w:p>
            <w:pPr>
              <w:jc w:val="center"/>
              <w:textAlignment w:val="center"/>
              <w:rPr>
                <w:rFonts w:ascii="仿宋_GB2312" w:hAnsi="仿宋_GB2312" w:eastAsia="仿宋_GB2312" w:cs="仿宋_GB2312"/>
                <w:b/>
                <w:bCs/>
                <w:color w:val="auto"/>
                <w:sz w:val="20"/>
                <w:szCs w:val="20"/>
                <w:highlight w:val="none"/>
                <w:lang w:eastAsia="zh-CN"/>
              </w:rPr>
            </w:pPr>
            <w:r>
              <w:rPr>
                <w:rFonts w:hint="eastAsia" w:ascii="仿宋_GB2312" w:hAnsi="仿宋_GB2312" w:eastAsia="仿宋_GB2312" w:cs="仿宋_GB2312"/>
                <w:b/>
                <w:bCs/>
                <w:color w:val="auto"/>
                <w:sz w:val="32"/>
                <w:szCs w:val="32"/>
                <w:highlight w:val="none"/>
                <w:lang w:eastAsia="zh-CN"/>
              </w:rPr>
              <w:t>2024年医疗服务与保障能力提升补助资金(医疗保障服务能力建设部分)区域绩效目标表</w:t>
            </w:r>
          </w:p>
        </w:tc>
      </w:tr>
      <w:tr>
        <w:tblPrEx>
          <w:tblCellMar>
            <w:top w:w="0" w:type="dxa"/>
            <w:left w:w="108" w:type="dxa"/>
            <w:bottom w:w="0" w:type="dxa"/>
            <w:right w:w="108" w:type="dxa"/>
          </w:tblCellMar>
        </w:tblPrEx>
        <w:trPr>
          <w:trHeight w:val="340" w:hRule="atLeast"/>
        </w:trPr>
        <w:tc>
          <w:tcPr>
            <w:tcW w:w="5000" w:type="pct"/>
            <w:gridSpan w:val="6"/>
            <w:tcBorders>
              <w:top w:val="nil"/>
              <w:left w:val="nil"/>
              <w:bottom w:val="nil"/>
              <w:right w:val="nil"/>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Style w:val="25"/>
                <w:rFonts w:hint="eastAsia" w:ascii="仿宋_GB2312" w:hAnsi="仿宋_GB2312" w:eastAsia="仿宋_GB2312" w:cs="仿宋_GB2312"/>
                <w:b w:val="0"/>
                <w:bCs w:val="0"/>
                <w:color w:val="auto"/>
                <w:sz w:val="24"/>
                <w:szCs w:val="24"/>
                <w:highlight w:val="none"/>
                <w:lang w:eastAsia="zh-CN"/>
              </w:rPr>
              <w:t>(2024年度)</w:t>
            </w:r>
          </w:p>
        </w:tc>
      </w:tr>
      <w:tr>
        <w:tblPrEx>
          <w:tblCellMar>
            <w:top w:w="0" w:type="dxa"/>
            <w:left w:w="108" w:type="dxa"/>
            <w:bottom w:w="0" w:type="dxa"/>
            <w:right w:w="108" w:type="dxa"/>
          </w:tblCellMar>
        </w:tblPrEx>
        <w:trPr>
          <w:trHeight w:val="335" w:hRule="atLeast"/>
        </w:trPr>
        <w:tc>
          <w:tcPr>
            <w:tcW w:w="16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项目名称</w:t>
            </w:r>
          </w:p>
        </w:tc>
        <w:tc>
          <w:tcPr>
            <w:tcW w:w="339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医疗服务与保障能力提升补助资金(医疗保障服务能力建设部分)第二批</w:t>
            </w:r>
          </w:p>
        </w:tc>
      </w:tr>
      <w:tr>
        <w:tblPrEx>
          <w:tblCellMar>
            <w:top w:w="0" w:type="dxa"/>
            <w:left w:w="108" w:type="dxa"/>
            <w:bottom w:w="0" w:type="dxa"/>
            <w:right w:w="108" w:type="dxa"/>
          </w:tblCellMar>
        </w:tblPrEx>
        <w:trPr>
          <w:trHeight w:val="350" w:hRule="atLeast"/>
        </w:trPr>
        <w:tc>
          <w:tcPr>
            <w:tcW w:w="16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省份</w:t>
            </w:r>
          </w:p>
        </w:tc>
        <w:tc>
          <w:tcPr>
            <w:tcW w:w="339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新疆维吾尔自治区</w:t>
            </w:r>
          </w:p>
        </w:tc>
      </w:tr>
      <w:tr>
        <w:tblPrEx>
          <w:tblCellMar>
            <w:top w:w="0" w:type="dxa"/>
            <w:left w:w="108" w:type="dxa"/>
            <w:bottom w:w="0" w:type="dxa"/>
            <w:right w:w="108" w:type="dxa"/>
          </w:tblCellMar>
        </w:tblPrEx>
        <w:trPr>
          <w:trHeight w:val="340" w:hRule="atLeast"/>
        </w:trPr>
        <w:tc>
          <w:tcPr>
            <w:tcW w:w="16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省级财政部门</w:t>
            </w:r>
          </w:p>
        </w:tc>
        <w:tc>
          <w:tcPr>
            <w:tcW w:w="339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自治区财政厅</w:t>
            </w:r>
          </w:p>
        </w:tc>
      </w:tr>
      <w:tr>
        <w:tblPrEx>
          <w:tblCellMar>
            <w:top w:w="0" w:type="dxa"/>
            <w:left w:w="108" w:type="dxa"/>
            <w:bottom w:w="0" w:type="dxa"/>
            <w:right w:w="108" w:type="dxa"/>
          </w:tblCellMar>
        </w:tblPrEx>
        <w:trPr>
          <w:trHeight w:val="350" w:hRule="atLeast"/>
        </w:trPr>
        <w:tc>
          <w:tcPr>
            <w:tcW w:w="16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省级主管部门</w:t>
            </w:r>
          </w:p>
        </w:tc>
        <w:tc>
          <w:tcPr>
            <w:tcW w:w="339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自治区医疗保障局</w:t>
            </w:r>
          </w:p>
        </w:tc>
      </w:tr>
      <w:tr>
        <w:tblPrEx>
          <w:tblCellMar>
            <w:top w:w="0" w:type="dxa"/>
            <w:left w:w="108" w:type="dxa"/>
            <w:bottom w:w="0" w:type="dxa"/>
            <w:right w:w="108" w:type="dxa"/>
          </w:tblCellMar>
        </w:tblPrEx>
        <w:trPr>
          <w:trHeight w:val="350" w:hRule="atLeast"/>
        </w:trPr>
        <w:tc>
          <w:tcPr>
            <w:tcW w:w="94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资金情况(万元)</w:t>
            </w:r>
          </w:p>
        </w:tc>
        <w:tc>
          <w:tcPr>
            <w:tcW w:w="326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年度金额</w:t>
            </w:r>
          </w:p>
        </w:tc>
        <w:tc>
          <w:tcPr>
            <w:tcW w:w="7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2185</w:t>
            </w:r>
          </w:p>
        </w:tc>
      </w:tr>
      <w:tr>
        <w:tblPrEx>
          <w:tblCellMar>
            <w:top w:w="0" w:type="dxa"/>
            <w:left w:w="108" w:type="dxa"/>
            <w:bottom w:w="0" w:type="dxa"/>
            <w:right w:w="108" w:type="dxa"/>
          </w:tblCellMar>
        </w:tblPrEx>
        <w:trPr>
          <w:trHeight w:val="330" w:hRule="atLeast"/>
        </w:trPr>
        <w:tc>
          <w:tcPr>
            <w:tcW w:w="94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326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其中：中央资金</w:t>
            </w:r>
          </w:p>
        </w:tc>
        <w:tc>
          <w:tcPr>
            <w:tcW w:w="7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2185</w:t>
            </w:r>
          </w:p>
        </w:tc>
      </w:tr>
      <w:tr>
        <w:tblPrEx>
          <w:tblCellMar>
            <w:top w:w="0" w:type="dxa"/>
            <w:left w:w="108" w:type="dxa"/>
            <w:bottom w:w="0" w:type="dxa"/>
            <w:right w:w="108" w:type="dxa"/>
          </w:tblCellMar>
        </w:tblPrEx>
        <w:trPr>
          <w:trHeight w:val="360" w:hRule="atLeast"/>
        </w:trPr>
        <w:tc>
          <w:tcPr>
            <w:tcW w:w="94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326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地方资金</w:t>
            </w:r>
          </w:p>
        </w:tc>
        <w:tc>
          <w:tcPr>
            <w:tcW w:w="7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0</w:t>
            </w:r>
          </w:p>
        </w:tc>
      </w:tr>
      <w:tr>
        <w:tblPrEx>
          <w:tblCellMar>
            <w:top w:w="0" w:type="dxa"/>
            <w:left w:w="108" w:type="dxa"/>
            <w:bottom w:w="0" w:type="dxa"/>
            <w:right w:w="108" w:type="dxa"/>
          </w:tblCellMar>
        </w:tblPrEx>
        <w:trPr>
          <w:trHeight w:val="330" w:hRule="atLeast"/>
        </w:trPr>
        <w:tc>
          <w:tcPr>
            <w:tcW w:w="94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326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其他资金</w:t>
            </w:r>
          </w:p>
        </w:tc>
        <w:tc>
          <w:tcPr>
            <w:tcW w:w="7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0</w:t>
            </w:r>
          </w:p>
        </w:tc>
      </w:tr>
      <w:tr>
        <w:tblPrEx>
          <w:tblCellMar>
            <w:top w:w="0" w:type="dxa"/>
            <w:left w:w="108" w:type="dxa"/>
            <w:bottom w:w="0" w:type="dxa"/>
            <w:right w:w="108" w:type="dxa"/>
          </w:tblCellMar>
        </w:tblPrEx>
        <w:trPr>
          <w:trHeight w:val="1760" w:hRule="atLeast"/>
        </w:trPr>
        <w:tc>
          <w:tcPr>
            <w:tcW w:w="9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年度目标</w:t>
            </w:r>
          </w:p>
        </w:tc>
        <w:tc>
          <w:tcPr>
            <w:tcW w:w="405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目标1:按照急用先行、重点先做、逐层推进的原则，   以数据质量为基础、数据安全为前提、制度规范为保障、数据有效使用为目标，制定规范标准、优化应用环境、开发渠道模式、强化数据质量，提升医保数据赋能医保改革、管理和服务能力，实现医保数据纵向有效贯通、横向有序共享，系统业务有机融合，树立“数智医保守护健康人生”新形象。</w:t>
            </w:r>
            <w:r>
              <w:rPr>
                <w:rFonts w:hint="eastAsia" w:ascii="仿宋_GB2312" w:hAnsi="仿宋_GB2312" w:eastAsia="仿宋_GB2312" w:cs="仿宋_GB2312"/>
                <w:color w:val="auto"/>
                <w:sz w:val="20"/>
                <w:szCs w:val="20"/>
                <w:highlight w:val="none"/>
                <w:lang w:eastAsia="zh-CN"/>
              </w:rPr>
              <w:br w:type="textWrapping"/>
            </w:r>
            <w:r>
              <w:rPr>
                <w:rFonts w:hint="eastAsia" w:ascii="仿宋_GB2312" w:hAnsi="仿宋_GB2312" w:eastAsia="仿宋_GB2312" w:cs="仿宋_GB2312"/>
                <w:color w:val="auto"/>
                <w:sz w:val="20"/>
                <w:szCs w:val="20"/>
                <w:highlight w:val="none"/>
                <w:lang w:eastAsia="zh-CN"/>
              </w:rPr>
              <w:t>目标2:实施“两结合三赋能”数智工程项目建设。</w:t>
            </w:r>
            <w:r>
              <w:rPr>
                <w:rFonts w:hint="eastAsia" w:ascii="仿宋_GB2312" w:hAnsi="仿宋_GB2312" w:eastAsia="仿宋_GB2312" w:cs="仿宋_GB2312"/>
                <w:color w:val="auto"/>
                <w:sz w:val="20"/>
                <w:szCs w:val="20"/>
                <w:highlight w:val="none"/>
                <w:lang w:eastAsia="zh-CN"/>
              </w:rPr>
              <w:br w:type="textWrapping"/>
            </w:r>
            <w:r>
              <w:rPr>
                <w:rFonts w:hint="eastAsia" w:ascii="仿宋_GB2312" w:hAnsi="仿宋_GB2312" w:eastAsia="仿宋_GB2312" w:cs="仿宋_GB2312"/>
                <w:color w:val="auto"/>
                <w:sz w:val="20"/>
                <w:szCs w:val="20"/>
                <w:highlight w:val="none"/>
                <w:lang w:eastAsia="zh-CN"/>
              </w:rPr>
              <w:t>目标3:实施医疗保障信息平台运行维护。</w:t>
            </w:r>
          </w:p>
        </w:tc>
      </w:tr>
      <w:tr>
        <w:tblPrEx>
          <w:tblCellMar>
            <w:top w:w="0" w:type="dxa"/>
            <w:left w:w="108" w:type="dxa"/>
            <w:bottom w:w="0" w:type="dxa"/>
            <w:right w:w="108" w:type="dxa"/>
          </w:tblCellMar>
        </w:tblPrEx>
        <w:trPr>
          <w:trHeight w:val="450" w:hRule="atLeast"/>
        </w:trPr>
        <w:tc>
          <w:tcPr>
            <w:tcW w:w="286" w:type="pct"/>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绩效指标</w:t>
            </w:r>
          </w:p>
        </w:tc>
        <w:tc>
          <w:tcPr>
            <w:tcW w:w="6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一级指标</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二级指标</w:t>
            </w:r>
          </w:p>
        </w:tc>
        <w:tc>
          <w:tcPr>
            <w:tcW w:w="18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三级指标</w:t>
            </w:r>
          </w:p>
        </w:tc>
        <w:tc>
          <w:tcPr>
            <w:tcW w:w="15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指标值(包含数字及</w:t>
            </w:r>
          </w:p>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文字描述)</w:t>
            </w:r>
          </w:p>
        </w:tc>
      </w:tr>
      <w:tr>
        <w:tblPrEx>
          <w:tblCellMar>
            <w:top w:w="0" w:type="dxa"/>
            <w:left w:w="108" w:type="dxa"/>
            <w:bottom w:w="0" w:type="dxa"/>
            <w:right w:w="108" w:type="dxa"/>
          </w:tblCellMar>
        </w:tblPrEx>
        <w:trPr>
          <w:trHeight w:val="624"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both"/>
              <w:rPr>
                <w:rFonts w:ascii="仿宋_GB2312" w:hAnsi="仿宋_GB2312" w:eastAsia="仿宋_GB2312" w:cs="仿宋_GB2312"/>
                <w:color w:val="auto"/>
                <w:sz w:val="20"/>
                <w:szCs w:val="20"/>
                <w:highlight w:val="none"/>
                <w:lang w:eastAsia="zh-CN"/>
              </w:rPr>
            </w:pPr>
          </w:p>
        </w:tc>
        <w:tc>
          <w:tcPr>
            <w:tcW w:w="6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产出指标</w:t>
            </w:r>
          </w:p>
        </w:tc>
        <w:tc>
          <w:tcPr>
            <w:tcW w:w="6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数量指标</w:t>
            </w:r>
          </w:p>
        </w:tc>
        <w:tc>
          <w:tcPr>
            <w:tcW w:w="18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top"/>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召开“两结合三赋能”数智工程项目建设专家论证会次数</w:t>
            </w:r>
          </w:p>
        </w:tc>
        <w:tc>
          <w:tcPr>
            <w:tcW w:w="15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≥3次</w:t>
            </w:r>
          </w:p>
        </w:tc>
      </w:tr>
      <w:tr>
        <w:tblPrEx>
          <w:tblCellMar>
            <w:top w:w="0" w:type="dxa"/>
            <w:left w:w="108" w:type="dxa"/>
            <w:bottom w:w="0" w:type="dxa"/>
            <w:right w:w="108" w:type="dxa"/>
          </w:tblCellMar>
        </w:tblPrEx>
        <w:trPr>
          <w:trHeight w:val="624"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both"/>
              <w:rPr>
                <w:rFonts w:ascii="仿宋_GB2312" w:hAnsi="仿宋_GB2312" w:eastAsia="仿宋_GB2312" w:cs="仿宋_GB2312"/>
                <w:color w:val="auto"/>
                <w:sz w:val="20"/>
                <w:szCs w:val="20"/>
                <w:highlight w:val="none"/>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6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8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“两结合三赋能”数智工程覆盖统筹区</w:t>
            </w:r>
          </w:p>
        </w:tc>
        <w:tc>
          <w:tcPr>
            <w:tcW w:w="15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w:t>
            </w:r>
            <w:r>
              <w:rPr>
                <w:rFonts w:hint="eastAsia" w:ascii="仿宋_GB2312" w:hAnsi="仿宋_GB2312" w:eastAsia="仿宋_GB2312" w:cs="仿宋_GB2312"/>
                <w:color w:val="auto"/>
                <w:sz w:val="20"/>
                <w:szCs w:val="20"/>
                <w:highlight w:val="none"/>
                <w:lang w:eastAsia="zh-CN"/>
              </w:rPr>
              <w:t>15个</w:t>
            </w:r>
          </w:p>
        </w:tc>
      </w:tr>
      <w:tr>
        <w:tblPrEx>
          <w:tblCellMar>
            <w:top w:w="0" w:type="dxa"/>
            <w:left w:w="108" w:type="dxa"/>
            <w:bottom w:w="0" w:type="dxa"/>
            <w:right w:w="108" w:type="dxa"/>
          </w:tblCellMar>
        </w:tblPrEx>
        <w:trPr>
          <w:trHeight w:val="624"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both"/>
              <w:rPr>
                <w:rFonts w:ascii="仿宋_GB2312" w:hAnsi="仿宋_GB2312" w:eastAsia="仿宋_GB2312" w:cs="仿宋_GB2312"/>
                <w:color w:val="auto"/>
                <w:sz w:val="20"/>
                <w:szCs w:val="20"/>
                <w:highlight w:val="none"/>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6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8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数据专区建设覆盖地(州)市数量</w:t>
            </w:r>
          </w:p>
        </w:tc>
        <w:tc>
          <w:tcPr>
            <w:tcW w:w="15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w:t>
            </w:r>
            <w:r>
              <w:rPr>
                <w:rFonts w:hint="eastAsia" w:ascii="仿宋_GB2312" w:hAnsi="仿宋_GB2312" w:eastAsia="仿宋_GB2312" w:cs="仿宋_GB2312"/>
                <w:color w:val="auto"/>
                <w:sz w:val="20"/>
                <w:szCs w:val="20"/>
                <w:highlight w:val="none"/>
                <w:lang w:eastAsia="zh-CN"/>
              </w:rPr>
              <w:t>14个</w:t>
            </w:r>
          </w:p>
        </w:tc>
      </w:tr>
      <w:tr>
        <w:tblPrEx>
          <w:tblCellMar>
            <w:top w:w="0" w:type="dxa"/>
            <w:left w:w="108" w:type="dxa"/>
            <w:bottom w:w="0" w:type="dxa"/>
            <w:right w:w="108" w:type="dxa"/>
          </w:tblCellMar>
        </w:tblPrEx>
        <w:trPr>
          <w:trHeight w:val="624"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both"/>
              <w:rPr>
                <w:rFonts w:ascii="仿宋_GB2312" w:hAnsi="仿宋_GB2312" w:eastAsia="仿宋_GB2312" w:cs="仿宋_GB2312"/>
                <w:color w:val="auto"/>
                <w:sz w:val="20"/>
                <w:szCs w:val="20"/>
                <w:highlight w:val="none"/>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6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8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top"/>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"两结合三赋能"数智工程数据应用场景建设数量</w:t>
            </w:r>
          </w:p>
        </w:tc>
        <w:tc>
          <w:tcPr>
            <w:tcW w:w="15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≥9个</w:t>
            </w:r>
          </w:p>
        </w:tc>
      </w:tr>
      <w:tr>
        <w:tblPrEx>
          <w:tblCellMar>
            <w:top w:w="0" w:type="dxa"/>
            <w:left w:w="108" w:type="dxa"/>
            <w:bottom w:w="0" w:type="dxa"/>
            <w:right w:w="108" w:type="dxa"/>
          </w:tblCellMar>
        </w:tblPrEx>
        <w:trPr>
          <w:trHeight w:val="624"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both"/>
              <w:rPr>
                <w:rFonts w:ascii="仿宋_GB2312" w:hAnsi="仿宋_GB2312" w:eastAsia="仿宋_GB2312" w:cs="仿宋_GB2312"/>
                <w:color w:val="auto"/>
                <w:sz w:val="20"/>
                <w:szCs w:val="20"/>
                <w:highlight w:val="none"/>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6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质量指标</w:t>
            </w:r>
          </w:p>
        </w:tc>
        <w:tc>
          <w:tcPr>
            <w:tcW w:w="18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医保信息系统验收合格率</w:t>
            </w:r>
          </w:p>
        </w:tc>
        <w:tc>
          <w:tcPr>
            <w:tcW w:w="15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≥90%</w:t>
            </w:r>
          </w:p>
        </w:tc>
      </w:tr>
      <w:tr>
        <w:tblPrEx>
          <w:tblCellMar>
            <w:top w:w="0" w:type="dxa"/>
            <w:left w:w="108" w:type="dxa"/>
            <w:bottom w:w="0" w:type="dxa"/>
            <w:right w:w="108" w:type="dxa"/>
          </w:tblCellMar>
        </w:tblPrEx>
        <w:trPr>
          <w:trHeight w:val="624"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both"/>
              <w:rPr>
                <w:rFonts w:ascii="仿宋_GB2312" w:hAnsi="仿宋_GB2312" w:eastAsia="仿宋_GB2312" w:cs="仿宋_GB2312"/>
                <w:color w:val="auto"/>
                <w:sz w:val="20"/>
                <w:szCs w:val="20"/>
                <w:highlight w:val="none"/>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6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8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云平台服务器等设备合格率</w:t>
            </w:r>
          </w:p>
        </w:tc>
        <w:tc>
          <w:tcPr>
            <w:tcW w:w="15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100%</w:t>
            </w:r>
          </w:p>
        </w:tc>
      </w:tr>
      <w:tr>
        <w:tblPrEx>
          <w:tblCellMar>
            <w:top w:w="0" w:type="dxa"/>
            <w:left w:w="108" w:type="dxa"/>
            <w:bottom w:w="0" w:type="dxa"/>
            <w:right w:w="108" w:type="dxa"/>
          </w:tblCellMar>
        </w:tblPrEx>
        <w:trPr>
          <w:trHeight w:val="624"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both"/>
              <w:rPr>
                <w:rFonts w:ascii="仿宋_GB2312" w:hAnsi="仿宋_GB2312" w:eastAsia="仿宋_GB2312" w:cs="仿宋_GB2312"/>
                <w:color w:val="auto"/>
                <w:sz w:val="20"/>
                <w:szCs w:val="20"/>
                <w:highlight w:val="none"/>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6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8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医保信息系统正常运行率</w:t>
            </w:r>
          </w:p>
        </w:tc>
        <w:tc>
          <w:tcPr>
            <w:tcW w:w="15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bottom"/>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≥90%</w:t>
            </w:r>
          </w:p>
        </w:tc>
      </w:tr>
      <w:tr>
        <w:tblPrEx>
          <w:tblCellMar>
            <w:top w:w="0" w:type="dxa"/>
            <w:left w:w="108" w:type="dxa"/>
            <w:bottom w:w="0" w:type="dxa"/>
            <w:right w:w="108" w:type="dxa"/>
          </w:tblCellMar>
        </w:tblPrEx>
        <w:trPr>
          <w:trHeight w:val="624"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both"/>
              <w:rPr>
                <w:rFonts w:ascii="仿宋_GB2312" w:hAnsi="仿宋_GB2312" w:eastAsia="仿宋_GB2312" w:cs="仿宋_GB2312"/>
                <w:color w:val="auto"/>
                <w:sz w:val="20"/>
                <w:szCs w:val="20"/>
                <w:highlight w:val="none"/>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6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8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bottom"/>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医保信息系统重大安全事件响应时间</w:t>
            </w:r>
          </w:p>
        </w:tc>
        <w:tc>
          <w:tcPr>
            <w:tcW w:w="15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≤60分钟</w:t>
            </w:r>
          </w:p>
        </w:tc>
      </w:tr>
      <w:tr>
        <w:tblPrEx>
          <w:tblCellMar>
            <w:top w:w="0" w:type="dxa"/>
            <w:left w:w="108" w:type="dxa"/>
            <w:bottom w:w="0" w:type="dxa"/>
            <w:right w:w="108" w:type="dxa"/>
          </w:tblCellMar>
        </w:tblPrEx>
        <w:trPr>
          <w:trHeight w:val="624"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both"/>
              <w:rPr>
                <w:rFonts w:ascii="仿宋_GB2312" w:hAnsi="仿宋_GB2312" w:eastAsia="仿宋_GB2312" w:cs="仿宋_GB2312"/>
                <w:color w:val="auto"/>
                <w:sz w:val="20"/>
                <w:szCs w:val="20"/>
                <w:highlight w:val="none"/>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6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时效指标</w:t>
            </w:r>
          </w:p>
        </w:tc>
        <w:tc>
          <w:tcPr>
            <w:tcW w:w="18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top"/>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“两结合三赋能”数智工程项目可研报告批复时间</w:t>
            </w:r>
          </w:p>
        </w:tc>
        <w:tc>
          <w:tcPr>
            <w:tcW w:w="15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2021年6月30日前</w:t>
            </w:r>
          </w:p>
        </w:tc>
      </w:tr>
      <w:tr>
        <w:tblPrEx>
          <w:tblCellMar>
            <w:top w:w="0" w:type="dxa"/>
            <w:left w:w="108" w:type="dxa"/>
            <w:bottom w:w="0" w:type="dxa"/>
            <w:right w:w="108" w:type="dxa"/>
          </w:tblCellMar>
        </w:tblPrEx>
        <w:trPr>
          <w:trHeight w:val="624"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both"/>
              <w:rPr>
                <w:rFonts w:ascii="仿宋_GB2312" w:hAnsi="仿宋_GB2312" w:eastAsia="仿宋_GB2312" w:cs="仿宋_GB2312"/>
                <w:color w:val="auto"/>
                <w:sz w:val="20"/>
                <w:szCs w:val="20"/>
                <w:highlight w:val="none"/>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6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8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top"/>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“两结合三赋能”数智工程项目初步设计及概算批复时间</w:t>
            </w:r>
          </w:p>
        </w:tc>
        <w:tc>
          <w:tcPr>
            <w:tcW w:w="15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2021年8月30日前</w:t>
            </w:r>
          </w:p>
        </w:tc>
      </w:tr>
      <w:tr>
        <w:tblPrEx>
          <w:tblCellMar>
            <w:top w:w="0" w:type="dxa"/>
            <w:left w:w="108" w:type="dxa"/>
            <w:bottom w:w="0" w:type="dxa"/>
            <w:right w:w="108" w:type="dxa"/>
          </w:tblCellMar>
        </w:tblPrEx>
        <w:trPr>
          <w:trHeight w:val="624"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both"/>
              <w:rPr>
                <w:rFonts w:ascii="仿宋_GB2312" w:hAnsi="仿宋_GB2312" w:eastAsia="仿宋_GB2312" w:cs="仿宋_GB2312"/>
                <w:color w:val="auto"/>
                <w:sz w:val="20"/>
                <w:szCs w:val="20"/>
                <w:highlight w:val="none"/>
              </w:rPr>
            </w:pPr>
          </w:p>
        </w:tc>
        <w:tc>
          <w:tcPr>
            <w:tcW w:w="6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产出指标</w:t>
            </w:r>
          </w:p>
        </w:tc>
        <w:tc>
          <w:tcPr>
            <w:tcW w:w="6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成本指标</w:t>
            </w:r>
          </w:p>
        </w:tc>
        <w:tc>
          <w:tcPr>
            <w:tcW w:w="18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业务系统新增功能点单价</w:t>
            </w:r>
          </w:p>
        </w:tc>
        <w:tc>
          <w:tcPr>
            <w:tcW w:w="15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≤4.5万元/个</w:t>
            </w:r>
          </w:p>
        </w:tc>
      </w:tr>
      <w:tr>
        <w:tblPrEx>
          <w:tblCellMar>
            <w:top w:w="0" w:type="dxa"/>
            <w:left w:w="108" w:type="dxa"/>
            <w:bottom w:w="0" w:type="dxa"/>
            <w:right w:w="108" w:type="dxa"/>
          </w:tblCellMar>
        </w:tblPrEx>
        <w:trPr>
          <w:trHeight w:val="624"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both"/>
              <w:rPr>
                <w:rFonts w:ascii="仿宋_GB2312" w:hAnsi="仿宋_GB2312" w:eastAsia="仿宋_GB2312" w:cs="仿宋_GB2312"/>
                <w:color w:val="auto"/>
                <w:sz w:val="20"/>
                <w:szCs w:val="20"/>
                <w:highlight w:val="none"/>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6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8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云平台服务器单价</w:t>
            </w:r>
          </w:p>
        </w:tc>
        <w:tc>
          <w:tcPr>
            <w:tcW w:w="15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≤7.5万元/台</w:t>
            </w:r>
          </w:p>
        </w:tc>
      </w:tr>
      <w:tr>
        <w:tblPrEx>
          <w:tblCellMar>
            <w:top w:w="0" w:type="dxa"/>
            <w:left w:w="108" w:type="dxa"/>
            <w:bottom w:w="0" w:type="dxa"/>
            <w:right w:w="108" w:type="dxa"/>
          </w:tblCellMar>
        </w:tblPrEx>
        <w:trPr>
          <w:trHeight w:val="624"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both"/>
              <w:rPr>
                <w:rFonts w:ascii="仿宋_GB2312" w:hAnsi="仿宋_GB2312" w:eastAsia="仿宋_GB2312" w:cs="仿宋_GB2312"/>
                <w:color w:val="auto"/>
                <w:sz w:val="20"/>
                <w:szCs w:val="20"/>
                <w:highlight w:val="none"/>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6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8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技术服务人员</w:t>
            </w:r>
          </w:p>
        </w:tc>
        <w:tc>
          <w:tcPr>
            <w:tcW w:w="15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≤15万元/年</w:t>
            </w:r>
          </w:p>
        </w:tc>
      </w:tr>
      <w:tr>
        <w:tblPrEx>
          <w:tblCellMar>
            <w:top w:w="0" w:type="dxa"/>
            <w:left w:w="108" w:type="dxa"/>
            <w:bottom w:w="0" w:type="dxa"/>
            <w:right w:w="108" w:type="dxa"/>
          </w:tblCellMar>
        </w:tblPrEx>
        <w:trPr>
          <w:trHeight w:val="624"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both"/>
              <w:rPr>
                <w:rFonts w:ascii="仿宋_GB2312" w:hAnsi="仿宋_GB2312" w:eastAsia="仿宋_GB2312" w:cs="仿宋_GB2312"/>
                <w:color w:val="auto"/>
                <w:sz w:val="20"/>
                <w:szCs w:val="20"/>
                <w:highlight w:val="none"/>
              </w:rPr>
            </w:pPr>
          </w:p>
        </w:tc>
        <w:tc>
          <w:tcPr>
            <w:tcW w:w="6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效益指标</w:t>
            </w:r>
          </w:p>
        </w:tc>
        <w:tc>
          <w:tcPr>
            <w:tcW w:w="6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社会效益指标</w:t>
            </w:r>
          </w:p>
        </w:tc>
        <w:tc>
          <w:tcPr>
            <w:tcW w:w="18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数据治理能力</w:t>
            </w:r>
          </w:p>
        </w:tc>
        <w:tc>
          <w:tcPr>
            <w:tcW w:w="15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有所提高</w:t>
            </w:r>
          </w:p>
        </w:tc>
      </w:tr>
      <w:tr>
        <w:tblPrEx>
          <w:tblCellMar>
            <w:top w:w="0" w:type="dxa"/>
            <w:left w:w="108" w:type="dxa"/>
            <w:bottom w:w="0" w:type="dxa"/>
            <w:right w:w="108" w:type="dxa"/>
          </w:tblCellMar>
        </w:tblPrEx>
        <w:trPr>
          <w:trHeight w:val="624"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both"/>
              <w:rPr>
                <w:rFonts w:ascii="仿宋_GB2312" w:hAnsi="仿宋_GB2312" w:eastAsia="仿宋_GB2312" w:cs="仿宋_GB2312"/>
                <w:color w:val="auto"/>
                <w:sz w:val="20"/>
                <w:szCs w:val="20"/>
                <w:highlight w:val="none"/>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6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8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医保信息化水平</w:t>
            </w:r>
          </w:p>
        </w:tc>
        <w:tc>
          <w:tcPr>
            <w:tcW w:w="15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显著提升</w:t>
            </w:r>
          </w:p>
        </w:tc>
      </w:tr>
      <w:tr>
        <w:tblPrEx>
          <w:tblCellMar>
            <w:top w:w="0" w:type="dxa"/>
            <w:left w:w="108" w:type="dxa"/>
            <w:bottom w:w="0" w:type="dxa"/>
            <w:right w:w="108" w:type="dxa"/>
          </w:tblCellMar>
        </w:tblPrEx>
        <w:trPr>
          <w:trHeight w:val="624"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both"/>
              <w:rPr>
                <w:rFonts w:ascii="仿宋_GB2312" w:hAnsi="仿宋_GB2312" w:eastAsia="仿宋_GB2312" w:cs="仿宋_GB2312"/>
                <w:color w:val="auto"/>
                <w:sz w:val="20"/>
                <w:szCs w:val="20"/>
                <w:highlight w:val="none"/>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6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18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医保标准化水平</w:t>
            </w:r>
          </w:p>
        </w:tc>
        <w:tc>
          <w:tcPr>
            <w:tcW w:w="15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显著提升</w:t>
            </w:r>
          </w:p>
        </w:tc>
      </w:tr>
      <w:tr>
        <w:tblPrEx>
          <w:tblCellMar>
            <w:top w:w="0" w:type="dxa"/>
            <w:left w:w="108" w:type="dxa"/>
            <w:bottom w:w="0" w:type="dxa"/>
            <w:right w:w="108" w:type="dxa"/>
          </w:tblCellMar>
        </w:tblPrEx>
        <w:trPr>
          <w:trHeight w:val="624"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both"/>
              <w:rPr>
                <w:rFonts w:ascii="仿宋_GB2312" w:hAnsi="仿宋_GB2312" w:eastAsia="仿宋_GB2312" w:cs="仿宋_GB2312"/>
                <w:color w:val="auto"/>
                <w:sz w:val="20"/>
                <w:szCs w:val="20"/>
                <w:highlight w:val="none"/>
              </w:rPr>
            </w:pPr>
          </w:p>
        </w:tc>
        <w:tc>
          <w:tcPr>
            <w:tcW w:w="6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满意度指标</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满意度指标</w:t>
            </w:r>
          </w:p>
        </w:tc>
        <w:tc>
          <w:tcPr>
            <w:tcW w:w="18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医药机构对医保信息平台服务满意度</w:t>
            </w:r>
          </w:p>
        </w:tc>
        <w:tc>
          <w:tcPr>
            <w:tcW w:w="15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≥70%</w:t>
            </w:r>
          </w:p>
        </w:tc>
      </w:tr>
    </w:tbl>
    <w:p>
      <w:pPr>
        <w:rPr>
          <w:color w:val="auto"/>
          <w:highlight w:val="none"/>
          <w:lang w:eastAsia="zh-CN"/>
        </w:rPr>
      </w:pPr>
    </w:p>
    <w:p>
      <w:pPr>
        <w:pStyle w:val="38"/>
        <w:rPr>
          <w:color w:val="auto"/>
          <w:highlight w:val="none"/>
          <w:lang w:eastAsia="zh-CN"/>
        </w:rPr>
      </w:pPr>
    </w:p>
    <w:tbl>
      <w:tblPr>
        <w:tblStyle w:val="14"/>
        <w:tblW w:w="5000" w:type="pct"/>
        <w:tblInd w:w="0" w:type="dxa"/>
        <w:tblLayout w:type="autofit"/>
        <w:tblCellMar>
          <w:top w:w="0" w:type="dxa"/>
          <w:left w:w="108" w:type="dxa"/>
          <w:bottom w:w="0" w:type="dxa"/>
          <w:right w:w="108" w:type="dxa"/>
        </w:tblCellMar>
      </w:tblPr>
      <w:tblGrid>
        <w:gridCol w:w="1301"/>
        <w:gridCol w:w="1249"/>
        <w:gridCol w:w="540"/>
        <w:gridCol w:w="846"/>
        <w:gridCol w:w="1614"/>
        <w:gridCol w:w="932"/>
        <w:gridCol w:w="299"/>
        <w:gridCol w:w="1121"/>
        <w:gridCol w:w="1046"/>
      </w:tblGrid>
      <w:tr>
        <w:tblPrEx>
          <w:tblCellMar>
            <w:top w:w="0" w:type="dxa"/>
            <w:left w:w="108" w:type="dxa"/>
            <w:bottom w:w="0" w:type="dxa"/>
            <w:right w:w="108" w:type="dxa"/>
          </w:tblCellMar>
        </w:tblPrEx>
        <w:trPr>
          <w:trHeight w:val="435" w:hRule="atLeast"/>
        </w:trPr>
        <w:tc>
          <w:tcPr>
            <w:tcW w:w="5000" w:type="pct"/>
            <w:gridSpan w:val="9"/>
            <w:tcBorders>
              <w:top w:val="nil"/>
              <w:left w:val="nil"/>
              <w:bottom w:val="nil"/>
              <w:right w:val="nil"/>
            </w:tcBorders>
            <w:shd w:val="clear" w:color="auto" w:fill="auto"/>
            <w:vAlign w:val="center"/>
          </w:tcPr>
          <w:p>
            <w:pPr>
              <w:jc w:val="center"/>
              <w:textAlignment w:val="center"/>
              <w:rPr>
                <w:rFonts w:ascii="仿宋_GB2312" w:hAnsi="仿宋_GB2312" w:eastAsia="仿宋_GB2312" w:cs="仿宋_GB2312"/>
                <w:b/>
                <w:bCs/>
                <w:color w:val="auto"/>
                <w:sz w:val="34"/>
                <w:szCs w:val="34"/>
                <w:highlight w:val="none"/>
                <w:lang w:eastAsia="zh-CN"/>
              </w:rPr>
            </w:pPr>
            <w:r>
              <w:rPr>
                <w:rFonts w:hint="eastAsia" w:ascii="仿宋_GB2312" w:hAnsi="仿宋_GB2312" w:eastAsia="仿宋_GB2312" w:cs="仿宋_GB2312"/>
                <w:b/>
                <w:bCs/>
                <w:color w:val="auto"/>
                <w:sz w:val="32"/>
                <w:szCs w:val="32"/>
                <w:highlight w:val="none"/>
                <w:lang w:eastAsia="zh-CN"/>
              </w:rPr>
              <w:t>项 目 支 出 绩 效 目 标 表(乌鲁木齐</w:t>
            </w:r>
            <w:r>
              <w:rPr>
                <w:rFonts w:hint="eastAsia" w:ascii="仿宋_GB2312" w:hAnsi="仿宋_GB2312" w:eastAsia="仿宋_GB2312" w:cs="仿宋_GB2312"/>
                <w:b/>
                <w:bCs/>
                <w:color w:val="auto"/>
                <w:sz w:val="32"/>
                <w:szCs w:val="32"/>
                <w:highlight w:val="none"/>
                <w:lang w:val="en-US" w:eastAsia="zh-CN"/>
              </w:rPr>
              <w:t>市</w:t>
            </w:r>
            <w:r>
              <w:rPr>
                <w:rFonts w:hint="eastAsia" w:ascii="仿宋_GB2312" w:hAnsi="仿宋_GB2312" w:eastAsia="仿宋_GB2312" w:cs="仿宋_GB2312"/>
                <w:b/>
                <w:bCs/>
                <w:color w:val="auto"/>
                <w:sz w:val="32"/>
                <w:szCs w:val="32"/>
                <w:highlight w:val="none"/>
                <w:lang w:eastAsia="zh-CN"/>
              </w:rPr>
              <w:t>)</w:t>
            </w:r>
          </w:p>
        </w:tc>
      </w:tr>
      <w:tr>
        <w:tblPrEx>
          <w:tblCellMar>
            <w:top w:w="0" w:type="dxa"/>
            <w:left w:w="108" w:type="dxa"/>
            <w:bottom w:w="0" w:type="dxa"/>
            <w:right w:w="108" w:type="dxa"/>
          </w:tblCellMar>
        </w:tblPrEx>
        <w:trPr>
          <w:trHeight w:val="405" w:hRule="atLeast"/>
        </w:trPr>
        <w:tc>
          <w:tcPr>
            <w:tcW w:w="5000" w:type="pct"/>
            <w:gridSpan w:val="9"/>
            <w:tcBorders>
              <w:top w:val="nil"/>
              <w:left w:val="nil"/>
              <w:bottom w:val="nil"/>
              <w:right w:val="nil"/>
            </w:tcBorders>
            <w:shd w:val="clear" w:color="auto" w:fill="auto"/>
            <w:vAlign w:val="center"/>
          </w:tcPr>
          <w:p>
            <w:pPr>
              <w:jc w:val="center"/>
              <w:textAlignment w:val="center"/>
              <w:rPr>
                <w:rFonts w:ascii="仿宋_GB2312" w:hAnsi="仿宋_GB2312" w:eastAsia="仿宋_GB2312" w:cs="仿宋_GB2312"/>
                <w:b/>
                <w:bCs/>
                <w:color w:val="auto"/>
                <w:sz w:val="30"/>
                <w:szCs w:val="30"/>
                <w:highlight w:val="none"/>
              </w:rPr>
            </w:pPr>
            <w:r>
              <w:rPr>
                <w:rStyle w:val="25"/>
                <w:rFonts w:hint="eastAsia" w:ascii="仿宋_GB2312" w:hAnsi="仿宋_GB2312" w:eastAsia="仿宋_GB2312" w:cs="仿宋_GB2312"/>
                <w:b w:val="0"/>
                <w:bCs w:val="0"/>
                <w:color w:val="auto"/>
                <w:sz w:val="24"/>
                <w:szCs w:val="24"/>
                <w:highlight w:val="none"/>
                <w:lang w:eastAsia="zh-CN"/>
              </w:rPr>
              <w:t>(2024年)</w:t>
            </w:r>
          </w:p>
        </w:tc>
      </w:tr>
      <w:tr>
        <w:tblPrEx>
          <w:tblCellMar>
            <w:top w:w="0" w:type="dxa"/>
            <w:left w:w="108" w:type="dxa"/>
            <w:bottom w:w="0" w:type="dxa"/>
            <w:right w:w="108" w:type="dxa"/>
          </w:tblCellMar>
        </w:tblPrEx>
        <w:trPr>
          <w:trHeight w:val="545" w:hRule="atLeast"/>
        </w:trPr>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预算单位</w:t>
            </w:r>
          </w:p>
        </w:tc>
        <w:tc>
          <w:tcPr>
            <w:tcW w:w="237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新疆维吾尔自治区医疗保障局</w:t>
            </w:r>
          </w:p>
        </w:tc>
        <w:tc>
          <w:tcPr>
            <w:tcW w:w="5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项目名称</w:t>
            </w:r>
          </w:p>
        </w:tc>
        <w:tc>
          <w:tcPr>
            <w:tcW w:w="13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医保能力提升经费</w:t>
            </w:r>
          </w:p>
        </w:tc>
      </w:tr>
      <w:tr>
        <w:tblPrEx>
          <w:tblCellMar>
            <w:top w:w="0" w:type="dxa"/>
            <w:left w:w="108" w:type="dxa"/>
            <w:bottom w:w="0" w:type="dxa"/>
            <w:right w:w="108" w:type="dxa"/>
          </w:tblCellMar>
        </w:tblPrEx>
        <w:trPr>
          <w:trHeight w:val="710" w:hRule="atLeast"/>
        </w:trPr>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项目资金</w:t>
            </w:r>
            <w:r>
              <w:rPr>
                <w:rFonts w:hint="eastAsia" w:ascii="仿宋_GB2312" w:eastAsia="仿宋_GB2312" w:cs="仿宋_GB2312"/>
                <w:b/>
                <w:bCs/>
                <w:color w:val="auto"/>
                <w:sz w:val="20"/>
                <w:szCs w:val="20"/>
                <w:highlight w:val="none"/>
                <w:lang w:eastAsia="zh-CN"/>
              </w:rPr>
              <w:br w:type="textWrapping"/>
            </w:r>
            <w:r>
              <w:rPr>
                <w:rFonts w:hint="eastAsia" w:ascii="仿宋_GB2312" w:eastAsia="仿宋_GB2312" w:cs="仿宋_GB2312"/>
                <w:b/>
                <w:bCs/>
                <w:color w:val="auto"/>
                <w:sz w:val="20"/>
                <w:szCs w:val="20"/>
                <w:highlight w:val="none"/>
                <w:lang w:eastAsia="zh-CN"/>
              </w:rPr>
              <w:t xml:space="preserve">  (万元)</w:t>
            </w:r>
          </w:p>
        </w:tc>
        <w:tc>
          <w:tcPr>
            <w:tcW w:w="1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年度资金总额：</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172</w:t>
            </w:r>
          </w:p>
        </w:tc>
        <w:tc>
          <w:tcPr>
            <w:tcW w:w="9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其中：财政拨款</w:t>
            </w:r>
          </w:p>
        </w:tc>
        <w:tc>
          <w:tcPr>
            <w:tcW w:w="5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172</w:t>
            </w:r>
          </w:p>
        </w:tc>
        <w:tc>
          <w:tcPr>
            <w:tcW w:w="7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其他资金</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0</w:t>
            </w:r>
          </w:p>
        </w:tc>
      </w:tr>
      <w:tr>
        <w:tblPrEx>
          <w:tblCellMar>
            <w:top w:w="0" w:type="dxa"/>
            <w:left w:w="108" w:type="dxa"/>
            <w:bottom w:w="0" w:type="dxa"/>
            <w:right w:w="108" w:type="dxa"/>
          </w:tblCellMar>
        </w:tblPrEx>
        <w:trPr>
          <w:trHeight w:val="2205" w:hRule="atLeast"/>
        </w:trPr>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项目总体目标</w:t>
            </w:r>
          </w:p>
        </w:tc>
        <w:tc>
          <w:tcPr>
            <w:tcW w:w="427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目标1:组织开展以“岗位练兵优服务，业务比武强规范”为主题的全地区医保经办系统练兵比武活动，通过练兵比武活动，为经办干部搭建补短板、强弱项、比技能的平台。</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2:加强医疗保障基金使用常态化监管，建立健全监督检查、智能监控、举报奖励、信用管理、综合监管、社会监督长效机制，多措并举织密基金监管网，进一步提升基金监管法制化、专业化、信息化水平，提升监管效能，有效维护医保基金安全；进一步压紧压实基金监管责任，强化医保行政监管责任、经办日常审核检查责任，推动落实定点医药机构医保基金使用主体责任、地方政府属地监管责任。</w:t>
            </w:r>
          </w:p>
        </w:tc>
      </w:tr>
      <w:tr>
        <w:tblPrEx>
          <w:tblCellMar>
            <w:top w:w="0" w:type="dxa"/>
            <w:left w:w="108" w:type="dxa"/>
            <w:bottom w:w="0" w:type="dxa"/>
            <w:right w:w="108" w:type="dxa"/>
          </w:tblCellMar>
        </w:tblPrEx>
        <w:trPr>
          <w:trHeight w:val="830" w:hRule="atLeast"/>
        </w:trPr>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一级指标</w:t>
            </w:r>
          </w:p>
        </w:tc>
        <w:tc>
          <w:tcPr>
            <w:tcW w:w="6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二级指标</w:t>
            </w:r>
          </w:p>
        </w:tc>
        <w:tc>
          <w:tcPr>
            <w:tcW w:w="23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三级指标</w:t>
            </w:r>
          </w:p>
        </w:tc>
        <w:tc>
          <w:tcPr>
            <w:tcW w:w="12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lang w:eastAsia="zh-CN"/>
              </w:rPr>
            </w:pPr>
            <w:r>
              <w:rPr>
                <w:rFonts w:hint="eastAsia" w:ascii="仿宋_GB2312" w:eastAsia="仿宋_GB2312" w:cs="仿宋_GB2312"/>
                <w:b/>
                <w:bCs/>
                <w:color w:val="auto"/>
                <w:sz w:val="20"/>
                <w:szCs w:val="20"/>
                <w:highlight w:val="none"/>
                <w:lang w:eastAsia="zh-CN"/>
              </w:rPr>
              <w:t>指标值(包含数字及文字描述)</w:t>
            </w:r>
          </w:p>
        </w:tc>
      </w:tr>
      <w:tr>
        <w:tblPrEx>
          <w:tblCellMar>
            <w:top w:w="0" w:type="dxa"/>
            <w:left w:w="108" w:type="dxa"/>
            <w:bottom w:w="0" w:type="dxa"/>
            <w:right w:w="108" w:type="dxa"/>
          </w:tblCellMar>
        </w:tblPrEx>
        <w:trPr>
          <w:trHeight w:val="680" w:hRule="atLeast"/>
        </w:trPr>
        <w:tc>
          <w:tcPr>
            <w:tcW w:w="7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产出指标</w:t>
            </w:r>
          </w:p>
        </w:tc>
        <w:tc>
          <w:tcPr>
            <w:tcW w:w="6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3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参赛区县数量</w:t>
            </w:r>
          </w:p>
        </w:tc>
        <w:tc>
          <w:tcPr>
            <w:tcW w:w="12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≥8个</w:t>
            </w:r>
          </w:p>
        </w:tc>
      </w:tr>
      <w:tr>
        <w:tblPrEx>
          <w:tblCellMar>
            <w:top w:w="0" w:type="dxa"/>
            <w:left w:w="108" w:type="dxa"/>
            <w:bottom w:w="0" w:type="dxa"/>
            <w:right w:w="108" w:type="dxa"/>
          </w:tblCellMar>
        </w:tblPrEx>
        <w:trPr>
          <w:trHeight w:val="68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6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3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定点医疗机构现场检查覆盖率</w:t>
            </w:r>
          </w:p>
        </w:tc>
        <w:tc>
          <w:tcPr>
            <w:tcW w:w="12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68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6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3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定点零售药店现场检查覆盖率</w:t>
            </w:r>
          </w:p>
        </w:tc>
        <w:tc>
          <w:tcPr>
            <w:tcW w:w="12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68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6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时效指标</w:t>
            </w:r>
          </w:p>
        </w:tc>
        <w:tc>
          <w:tcPr>
            <w:tcW w:w="23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完成年度各类监督检查任务时间(基金监管)</w:t>
            </w:r>
          </w:p>
        </w:tc>
        <w:tc>
          <w:tcPr>
            <w:tcW w:w="12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2023年12月31日前</w:t>
            </w:r>
          </w:p>
        </w:tc>
      </w:tr>
      <w:tr>
        <w:tblPrEx>
          <w:tblCellMar>
            <w:top w:w="0" w:type="dxa"/>
            <w:left w:w="108" w:type="dxa"/>
            <w:bottom w:w="0" w:type="dxa"/>
            <w:right w:w="108" w:type="dxa"/>
          </w:tblCellMar>
        </w:tblPrEx>
        <w:trPr>
          <w:trHeight w:val="68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6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成本指标</w:t>
            </w:r>
          </w:p>
        </w:tc>
        <w:tc>
          <w:tcPr>
            <w:tcW w:w="23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经办服务能力提升资金</w:t>
            </w:r>
          </w:p>
        </w:tc>
        <w:tc>
          <w:tcPr>
            <w:tcW w:w="12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≤7万元</w:t>
            </w:r>
          </w:p>
        </w:tc>
      </w:tr>
      <w:tr>
        <w:tblPrEx>
          <w:tblCellMar>
            <w:top w:w="0" w:type="dxa"/>
            <w:left w:w="108" w:type="dxa"/>
            <w:bottom w:w="0" w:type="dxa"/>
            <w:right w:w="108" w:type="dxa"/>
          </w:tblCellMar>
        </w:tblPrEx>
        <w:trPr>
          <w:trHeight w:val="68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6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成本指标</w:t>
            </w:r>
          </w:p>
        </w:tc>
        <w:tc>
          <w:tcPr>
            <w:tcW w:w="23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基金监管能力提升资金</w:t>
            </w:r>
          </w:p>
        </w:tc>
        <w:tc>
          <w:tcPr>
            <w:tcW w:w="12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≤120万元</w:t>
            </w:r>
          </w:p>
        </w:tc>
      </w:tr>
      <w:tr>
        <w:tblPrEx>
          <w:tblCellMar>
            <w:top w:w="0" w:type="dxa"/>
            <w:left w:w="108" w:type="dxa"/>
            <w:bottom w:w="0" w:type="dxa"/>
            <w:right w:w="108" w:type="dxa"/>
          </w:tblCellMar>
        </w:tblPrEx>
        <w:trPr>
          <w:trHeight w:val="680" w:hRule="atLeast"/>
        </w:trPr>
        <w:tc>
          <w:tcPr>
            <w:tcW w:w="7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效益指标</w:t>
            </w:r>
          </w:p>
        </w:tc>
        <w:tc>
          <w:tcPr>
            <w:tcW w:w="6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社会效益指标</w:t>
            </w:r>
          </w:p>
        </w:tc>
        <w:tc>
          <w:tcPr>
            <w:tcW w:w="23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提升全市经办队伍能力，提高经办服务水平</w:t>
            </w:r>
          </w:p>
        </w:tc>
        <w:tc>
          <w:tcPr>
            <w:tcW w:w="12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有效提升</w:t>
            </w:r>
          </w:p>
        </w:tc>
      </w:tr>
      <w:tr>
        <w:tblPrEx>
          <w:tblCellMar>
            <w:top w:w="0" w:type="dxa"/>
            <w:left w:w="108" w:type="dxa"/>
            <w:bottom w:w="0" w:type="dxa"/>
            <w:right w:w="108" w:type="dxa"/>
          </w:tblCellMar>
        </w:tblPrEx>
        <w:trPr>
          <w:trHeight w:val="680" w:hRule="atLeast"/>
        </w:trPr>
        <w:tc>
          <w:tcPr>
            <w:tcW w:w="7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6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23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经办机构满意度</w:t>
            </w:r>
          </w:p>
        </w:tc>
        <w:tc>
          <w:tcPr>
            <w:tcW w:w="12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≥90%</w:t>
            </w:r>
          </w:p>
        </w:tc>
      </w:tr>
      <w:tr>
        <w:tblPrEx>
          <w:tblCellMar>
            <w:top w:w="0" w:type="dxa"/>
            <w:left w:w="108" w:type="dxa"/>
            <w:bottom w:w="0" w:type="dxa"/>
            <w:right w:w="108" w:type="dxa"/>
          </w:tblCellMar>
        </w:tblPrEx>
        <w:trPr>
          <w:trHeight w:val="680" w:hRule="atLeast"/>
        </w:trPr>
        <w:tc>
          <w:tcPr>
            <w:tcW w:w="7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6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23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各区(县)满意度</w:t>
            </w:r>
          </w:p>
        </w:tc>
        <w:tc>
          <w:tcPr>
            <w:tcW w:w="12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bl>
    <w:p>
      <w:pPr>
        <w:pStyle w:val="38"/>
        <w:jc w:val="both"/>
        <w:rPr>
          <w:color w:val="auto"/>
          <w:highlight w:val="none"/>
          <w:lang w:eastAsia="zh-CN"/>
        </w:rPr>
      </w:pPr>
    </w:p>
    <w:p>
      <w:pPr>
        <w:pStyle w:val="38"/>
        <w:jc w:val="both"/>
        <w:rPr>
          <w:color w:val="auto"/>
          <w:highlight w:val="none"/>
          <w:lang w:eastAsia="zh-CN"/>
        </w:rPr>
      </w:pPr>
    </w:p>
    <w:tbl>
      <w:tblPr>
        <w:tblStyle w:val="14"/>
        <w:tblW w:w="5000" w:type="pct"/>
        <w:tblInd w:w="0" w:type="dxa"/>
        <w:tblLayout w:type="autofit"/>
        <w:tblCellMar>
          <w:top w:w="0" w:type="dxa"/>
          <w:left w:w="108" w:type="dxa"/>
          <w:bottom w:w="0" w:type="dxa"/>
          <w:right w:w="108" w:type="dxa"/>
        </w:tblCellMar>
      </w:tblPr>
      <w:tblGrid>
        <w:gridCol w:w="1034"/>
        <w:gridCol w:w="1305"/>
        <w:gridCol w:w="335"/>
        <w:gridCol w:w="940"/>
        <w:gridCol w:w="1800"/>
        <w:gridCol w:w="1036"/>
        <w:gridCol w:w="539"/>
        <w:gridCol w:w="830"/>
        <w:gridCol w:w="1129"/>
      </w:tblGrid>
      <w:tr>
        <w:tblPrEx>
          <w:tblCellMar>
            <w:top w:w="0" w:type="dxa"/>
            <w:left w:w="108" w:type="dxa"/>
            <w:bottom w:w="0" w:type="dxa"/>
            <w:right w:w="108" w:type="dxa"/>
          </w:tblCellMar>
        </w:tblPrEx>
        <w:trPr>
          <w:trHeight w:val="435" w:hRule="atLeast"/>
        </w:trPr>
        <w:tc>
          <w:tcPr>
            <w:tcW w:w="5000" w:type="pct"/>
            <w:gridSpan w:val="9"/>
            <w:tcBorders>
              <w:top w:val="nil"/>
              <w:left w:val="nil"/>
              <w:bottom w:val="nil"/>
              <w:right w:val="nil"/>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b/>
                <w:bCs/>
                <w:color w:val="auto"/>
                <w:sz w:val="36"/>
                <w:szCs w:val="36"/>
                <w:highlight w:val="none"/>
                <w:lang w:eastAsia="zh-CN"/>
              </w:rPr>
            </w:pPr>
            <w:r>
              <w:rPr>
                <w:rFonts w:hint="eastAsia" w:ascii="仿宋_GB2312" w:hAnsi="仿宋_GB2312" w:eastAsia="仿宋_GB2312" w:cs="仿宋_GB2312"/>
                <w:b/>
                <w:bCs/>
                <w:color w:val="auto"/>
                <w:sz w:val="32"/>
                <w:szCs w:val="32"/>
                <w:highlight w:val="none"/>
                <w:lang w:eastAsia="zh-CN"/>
              </w:rPr>
              <w:t>项 目 支 出 绩 效 目 标 表 ( 克拉玛依市 )</w:t>
            </w:r>
          </w:p>
        </w:tc>
      </w:tr>
      <w:tr>
        <w:tblPrEx>
          <w:tblCellMar>
            <w:top w:w="0" w:type="dxa"/>
            <w:left w:w="108" w:type="dxa"/>
            <w:bottom w:w="0" w:type="dxa"/>
            <w:right w:w="108" w:type="dxa"/>
          </w:tblCellMar>
        </w:tblPrEx>
        <w:trPr>
          <w:trHeight w:val="405" w:hRule="atLeast"/>
        </w:trPr>
        <w:tc>
          <w:tcPr>
            <w:tcW w:w="5000" w:type="pct"/>
            <w:gridSpan w:val="9"/>
            <w:tcBorders>
              <w:top w:val="nil"/>
              <w:left w:val="nil"/>
              <w:bottom w:val="nil"/>
              <w:right w:val="nil"/>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b/>
                <w:bCs/>
                <w:color w:val="auto"/>
                <w:sz w:val="30"/>
                <w:szCs w:val="30"/>
                <w:highlight w:val="none"/>
              </w:rPr>
            </w:pPr>
            <w:r>
              <w:rPr>
                <w:rStyle w:val="25"/>
                <w:rFonts w:hint="eastAsia" w:ascii="仿宋_GB2312" w:hAnsi="仿宋_GB2312" w:eastAsia="仿宋_GB2312" w:cs="仿宋_GB2312"/>
                <w:b w:val="0"/>
                <w:bCs w:val="0"/>
                <w:color w:val="auto"/>
                <w:sz w:val="24"/>
                <w:szCs w:val="24"/>
                <w:highlight w:val="none"/>
                <w:lang w:eastAsia="zh-CN"/>
              </w:rPr>
              <w:t>(2024年)</w:t>
            </w:r>
          </w:p>
        </w:tc>
      </w:tr>
      <w:tr>
        <w:tblPrEx>
          <w:tblCellMar>
            <w:top w:w="0" w:type="dxa"/>
            <w:left w:w="108" w:type="dxa"/>
            <w:bottom w:w="0" w:type="dxa"/>
            <w:right w:w="108" w:type="dxa"/>
          </w:tblCellMar>
        </w:tblPrEx>
        <w:trPr>
          <w:trHeight w:val="515" w:hRule="atLeast"/>
        </w:trPr>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预算单位</w:t>
            </w:r>
          </w:p>
        </w:tc>
        <w:tc>
          <w:tcPr>
            <w:tcW w:w="244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新疆维吾尔自治区医疗保障局</w:t>
            </w: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项目名称</w:t>
            </w:r>
          </w:p>
        </w:tc>
        <w:tc>
          <w:tcPr>
            <w:tcW w:w="139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医保能力提升经费</w:t>
            </w:r>
          </w:p>
        </w:tc>
      </w:tr>
      <w:tr>
        <w:tblPrEx>
          <w:tblCellMar>
            <w:top w:w="0" w:type="dxa"/>
            <w:left w:w="108" w:type="dxa"/>
            <w:bottom w:w="0" w:type="dxa"/>
            <w:right w:w="108" w:type="dxa"/>
          </w:tblCellMar>
        </w:tblPrEx>
        <w:trPr>
          <w:trHeight w:val="620" w:hRule="atLeast"/>
        </w:trPr>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项目资金</w:t>
            </w:r>
            <w:r>
              <w:rPr>
                <w:rFonts w:hint="eastAsia" w:ascii="仿宋_GB2312" w:eastAsia="仿宋_GB2312" w:cs="仿宋_GB2312"/>
                <w:b/>
                <w:bCs/>
                <w:color w:val="auto"/>
                <w:sz w:val="20"/>
                <w:szCs w:val="20"/>
                <w:highlight w:val="none"/>
                <w:lang w:eastAsia="zh-CN"/>
              </w:rPr>
              <w:br w:type="textWrapping"/>
            </w:r>
            <w:r>
              <w:rPr>
                <w:rFonts w:hint="eastAsia" w:ascii="仿宋_GB2312" w:eastAsia="仿宋_GB2312" w:cs="仿宋_GB2312"/>
                <w:b/>
                <w:bCs/>
                <w:color w:val="auto"/>
                <w:sz w:val="20"/>
                <w:szCs w:val="20"/>
                <w:highlight w:val="none"/>
                <w:lang w:eastAsia="zh-CN"/>
              </w:rPr>
              <w:t>(万元)</w:t>
            </w:r>
          </w:p>
        </w:tc>
        <w:tc>
          <w:tcPr>
            <w:tcW w:w="9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年度资金总额：</w:t>
            </w:r>
          </w:p>
        </w:tc>
        <w:tc>
          <w:tcPr>
            <w:tcW w:w="5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137</w:t>
            </w:r>
          </w:p>
        </w:tc>
        <w:tc>
          <w:tcPr>
            <w:tcW w:w="10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其中：财政拨款</w:t>
            </w:r>
          </w:p>
        </w:tc>
        <w:tc>
          <w:tcPr>
            <w:tcW w:w="5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137</w:t>
            </w:r>
          </w:p>
        </w:tc>
        <w:tc>
          <w:tcPr>
            <w:tcW w:w="7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其他资金</w:t>
            </w:r>
          </w:p>
        </w:tc>
        <w:tc>
          <w:tcPr>
            <w:tcW w:w="6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0</w:t>
            </w:r>
          </w:p>
        </w:tc>
      </w:tr>
      <w:tr>
        <w:tblPrEx>
          <w:tblCellMar>
            <w:top w:w="0" w:type="dxa"/>
            <w:left w:w="108" w:type="dxa"/>
            <w:bottom w:w="0" w:type="dxa"/>
            <w:right w:w="108" w:type="dxa"/>
          </w:tblCellMar>
        </w:tblPrEx>
        <w:trPr>
          <w:trHeight w:val="3800" w:hRule="atLeast"/>
        </w:trPr>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项目总体目标</w:t>
            </w:r>
          </w:p>
        </w:tc>
        <w:tc>
          <w:tcPr>
            <w:tcW w:w="4421"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both"/>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目标1:组织开展以“岗位练兵优服务，业务比武强规范”为主题的全地区医保经办系统练兵比武活动，通过练兵比武活动，为经办干部搭建补短板、强弱项、比技能的平台。</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2:常态化制度化落实药品耗材集中带量采购，推动医疗服务项目运行监测，建立长效医药集采落实情况、价格和供应监测机制，加强监测点建设，优先选择覆盖面大、信息化水平较好、反映区域内情况的单位作为监测点，逐步延伸至各级医疗机构、零售药店、配送企业，推动集中带量采购落实效果的监测能力提升，提高异常信息发现和处置能力。</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3:根据自治区DRG/DIP支付方式改革三年行动计划部署要求，逐步提高统筹地区、医疗机构、病种分组、医保基金覆盖率。统筹地区医疗机构覆盖面：2024年底实现全覆盖。统筹地区病种覆盖面：2024年底实现入组率达到90%以上。统筹地区医保基金总额预算覆盖率：2024年底不低于70%。</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4:加强医疗保障基金使用常态化监管，建立健全监督检查、智能监控、举报奖励、信用管理、综合监管、社会监督长效机制，多措并举织密基金监管网，进一步提升基金监管法制化、专业化、信息化水平，提升监管效能，有效维护医保基金安全；进一步压紧压实基金监管责任，强化医保行政监管责任、经办日常审核检查责任，推动落实定点医药机构医保基金使用主体责任、地方政府属地监管责任。</w:t>
            </w:r>
          </w:p>
        </w:tc>
      </w:tr>
      <w:tr>
        <w:tblPrEx>
          <w:tblCellMar>
            <w:top w:w="0" w:type="dxa"/>
            <w:left w:w="108" w:type="dxa"/>
            <w:bottom w:w="0" w:type="dxa"/>
            <w:right w:w="108" w:type="dxa"/>
          </w:tblCellMar>
        </w:tblPrEx>
        <w:trPr>
          <w:trHeight w:val="600" w:hRule="atLeast"/>
        </w:trPr>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一级指标</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二级指标</w:t>
            </w:r>
          </w:p>
        </w:tc>
        <w:tc>
          <w:tcPr>
            <w:tcW w:w="25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三级指标</w:t>
            </w:r>
          </w:p>
        </w:tc>
        <w:tc>
          <w:tcPr>
            <w:tcW w:w="10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b/>
                <w:bCs/>
                <w:color w:val="auto"/>
                <w:sz w:val="20"/>
                <w:szCs w:val="20"/>
                <w:highlight w:val="none"/>
                <w:lang w:eastAsia="zh-CN"/>
              </w:rPr>
            </w:pPr>
            <w:r>
              <w:rPr>
                <w:rFonts w:hint="eastAsia" w:ascii="仿宋_GB2312" w:eastAsia="仿宋_GB2312" w:cs="仿宋_GB2312"/>
                <w:b/>
                <w:bCs/>
                <w:color w:val="auto"/>
                <w:sz w:val="20"/>
                <w:szCs w:val="20"/>
                <w:highlight w:val="none"/>
                <w:lang w:eastAsia="zh-CN"/>
              </w:rPr>
              <w:t>指标值(包含数字及文字描述)</w:t>
            </w:r>
          </w:p>
        </w:tc>
      </w:tr>
      <w:tr>
        <w:tblPrEx>
          <w:tblCellMar>
            <w:top w:w="0" w:type="dxa"/>
            <w:left w:w="108" w:type="dxa"/>
            <w:bottom w:w="0" w:type="dxa"/>
            <w:right w:w="108" w:type="dxa"/>
          </w:tblCellMar>
        </w:tblPrEx>
        <w:trPr>
          <w:trHeight w:val="490" w:hRule="atLeast"/>
        </w:trPr>
        <w:tc>
          <w:tcPr>
            <w:tcW w:w="5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产出指标</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5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练兵比武参赛区数量</w:t>
            </w:r>
          </w:p>
        </w:tc>
        <w:tc>
          <w:tcPr>
            <w:tcW w:w="10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≥4个</w:t>
            </w:r>
          </w:p>
        </w:tc>
      </w:tr>
      <w:tr>
        <w:tblPrEx>
          <w:tblCellMar>
            <w:top w:w="0" w:type="dxa"/>
            <w:left w:w="108" w:type="dxa"/>
            <w:bottom w:w="0" w:type="dxa"/>
            <w:right w:w="108" w:type="dxa"/>
          </w:tblCellMar>
        </w:tblPrEx>
        <w:trPr>
          <w:trHeight w:val="480" w:hRule="atLeast"/>
        </w:trPr>
        <w:tc>
          <w:tcPr>
            <w:tcW w:w="5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rPr>
                <w:rFonts w:ascii="仿宋_GB2312" w:eastAsia="仿宋_GB2312" w:cs="仿宋_GB2312"/>
                <w:color w:val="auto"/>
                <w:sz w:val="20"/>
                <w:szCs w:val="20"/>
                <w:highlight w:val="none"/>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5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召开医药价格工作政策吹风会、宣传活动、调研指导次数</w:t>
            </w:r>
          </w:p>
        </w:tc>
        <w:tc>
          <w:tcPr>
            <w:tcW w:w="10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≥2次</w:t>
            </w:r>
          </w:p>
        </w:tc>
      </w:tr>
      <w:tr>
        <w:tblPrEx>
          <w:tblCellMar>
            <w:top w:w="0" w:type="dxa"/>
            <w:left w:w="108" w:type="dxa"/>
            <w:bottom w:w="0" w:type="dxa"/>
            <w:right w:w="108" w:type="dxa"/>
          </w:tblCellMar>
        </w:tblPrEx>
        <w:trPr>
          <w:trHeight w:val="500" w:hRule="atLeast"/>
        </w:trPr>
        <w:tc>
          <w:tcPr>
            <w:tcW w:w="5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rPr>
                <w:rFonts w:ascii="仿宋_GB2312" w:eastAsia="仿宋_GB2312" w:cs="仿宋_GB2312"/>
                <w:color w:val="auto"/>
                <w:sz w:val="20"/>
                <w:szCs w:val="20"/>
                <w:highlight w:val="none"/>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5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召开医药价格工作会议或培训</w:t>
            </w:r>
          </w:p>
        </w:tc>
        <w:tc>
          <w:tcPr>
            <w:tcW w:w="10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≥2次</w:t>
            </w:r>
          </w:p>
        </w:tc>
      </w:tr>
      <w:tr>
        <w:tblPrEx>
          <w:tblCellMar>
            <w:top w:w="0" w:type="dxa"/>
            <w:left w:w="108" w:type="dxa"/>
            <w:bottom w:w="0" w:type="dxa"/>
            <w:right w:w="108" w:type="dxa"/>
          </w:tblCellMar>
        </w:tblPrEx>
        <w:trPr>
          <w:trHeight w:val="490" w:hRule="atLeast"/>
        </w:trPr>
        <w:tc>
          <w:tcPr>
            <w:tcW w:w="5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rPr>
                <w:rFonts w:ascii="仿宋_GB2312" w:eastAsia="仿宋_GB2312" w:cs="仿宋_GB2312"/>
                <w:color w:val="auto"/>
                <w:sz w:val="20"/>
                <w:szCs w:val="20"/>
                <w:highlight w:val="none"/>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5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2024年底实现统筹地区病种覆盖入组率</w:t>
            </w:r>
          </w:p>
        </w:tc>
        <w:tc>
          <w:tcPr>
            <w:tcW w:w="10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≥90%</w:t>
            </w:r>
          </w:p>
        </w:tc>
      </w:tr>
      <w:tr>
        <w:tblPrEx>
          <w:tblCellMar>
            <w:top w:w="0" w:type="dxa"/>
            <w:left w:w="108" w:type="dxa"/>
            <w:bottom w:w="0" w:type="dxa"/>
            <w:right w:w="108" w:type="dxa"/>
          </w:tblCellMar>
        </w:tblPrEx>
        <w:trPr>
          <w:trHeight w:val="490" w:hRule="atLeast"/>
        </w:trPr>
        <w:tc>
          <w:tcPr>
            <w:tcW w:w="5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rPr>
                <w:rFonts w:ascii="仿宋_GB2312" w:eastAsia="仿宋_GB2312" w:cs="仿宋_GB2312"/>
                <w:color w:val="auto"/>
                <w:sz w:val="20"/>
                <w:szCs w:val="20"/>
                <w:highlight w:val="none"/>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5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定点医疗机构现场检查覆盖率</w:t>
            </w:r>
          </w:p>
        </w:tc>
        <w:tc>
          <w:tcPr>
            <w:tcW w:w="10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=100%</w:t>
            </w:r>
          </w:p>
        </w:tc>
      </w:tr>
      <w:tr>
        <w:tblPrEx>
          <w:tblCellMar>
            <w:top w:w="0" w:type="dxa"/>
            <w:left w:w="108" w:type="dxa"/>
            <w:bottom w:w="0" w:type="dxa"/>
            <w:right w:w="108" w:type="dxa"/>
          </w:tblCellMar>
        </w:tblPrEx>
        <w:trPr>
          <w:trHeight w:val="500" w:hRule="atLeast"/>
        </w:trPr>
        <w:tc>
          <w:tcPr>
            <w:tcW w:w="5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rPr>
                <w:rFonts w:ascii="仿宋_GB2312" w:eastAsia="仿宋_GB2312" w:cs="仿宋_GB2312"/>
                <w:color w:val="auto"/>
                <w:sz w:val="20"/>
                <w:szCs w:val="20"/>
                <w:highlight w:val="none"/>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5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定点零售药店现场检查覆盖率</w:t>
            </w:r>
          </w:p>
        </w:tc>
        <w:tc>
          <w:tcPr>
            <w:tcW w:w="10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=100%</w:t>
            </w:r>
          </w:p>
        </w:tc>
      </w:tr>
      <w:tr>
        <w:tblPrEx>
          <w:tblCellMar>
            <w:top w:w="0" w:type="dxa"/>
            <w:left w:w="108" w:type="dxa"/>
            <w:bottom w:w="0" w:type="dxa"/>
            <w:right w:w="108" w:type="dxa"/>
          </w:tblCellMar>
        </w:tblPrEx>
        <w:trPr>
          <w:trHeight w:val="470" w:hRule="atLeast"/>
        </w:trPr>
        <w:tc>
          <w:tcPr>
            <w:tcW w:w="5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rPr>
                <w:rFonts w:ascii="仿宋_GB2312" w:eastAsia="仿宋_GB2312" w:cs="仿宋_GB2312"/>
                <w:color w:val="auto"/>
                <w:sz w:val="20"/>
                <w:szCs w:val="20"/>
                <w:highlight w:val="none"/>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质量指标</w:t>
            </w:r>
          </w:p>
        </w:tc>
        <w:tc>
          <w:tcPr>
            <w:tcW w:w="25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购买医药价格监测硬件设施并配备至监测点</w:t>
            </w:r>
          </w:p>
        </w:tc>
        <w:tc>
          <w:tcPr>
            <w:tcW w:w="10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490" w:hRule="atLeast"/>
        </w:trPr>
        <w:tc>
          <w:tcPr>
            <w:tcW w:w="5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rPr>
                <w:rFonts w:ascii="仿宋_GB2312" w:eastAsia="仿宋_GB2312" w:cs="仿宋_GB2312"/>
                <w:color w:val="auto"/>
                <w:sz w:val="20"/>
                <w:szCs w:val="20"/>
                <w:highlight w:val="none"/>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时效指标</w:t>
            </w:r>
          </w:p>
        </w:tc>
        <w:tc>
          <w:tcPr>
            <w:tcW w:w="25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完成年度各类监督检查任务时间(基金监管)</w:t>
            </w:r>
          </w:p>
        </w:tc>
        <w:tc>
          <w:tcPr>
            <w:tcW w:w="10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2024年12月31日前</w:t>
            </w:r>
          </w:p>
        </w:tc>
      </w:tr>
      <w:tr>
        <w:tblPrEx>
          <w:tblCellMar>
            <w:top w:w="0" w:type="dxa"/>
            <w:left w:w="108" w:type="dxa"/>
            <w:bottom w:w="0" w:type="dxa"/>
            <w:right w:w="108" w:type="dxa"/>
          </w:tblCellMar>
        </w:tblPrEx>
        <w:trPr>
          <w:trHeight w:val="500" w:hRule="atLeast"/>
        </w:trPr>
        <w:tc>
          <w:tcPr>
            <w:tcW w:w="5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rPr>
                <w:rFonts w:ascii="仿宋_GB2312" w:eastAsia="仿宋_GB2312" w:cs="仿宋_GB2312"/>
                <w:color w:val="auto"/>
                <w:sz w:val="20"/>
                <w:szCs w:val="20"/>
                <w:highlight w:val="none"/>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成本指标</w:t>
            </w:r>
          </w:p>
        </w:tc>
        <w:tc>
          <w:tcPr>
            <w:tcW w:w="25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DRG支付方式改革能力提升经费</w:t>
            </w:r>
          </w:p>
        </w:tc>
        <w:tc>
          <w:tcPr>
            <w:tcW w:w="10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≤50万元</w:t>
            </w:r>
          </w:p>
        </w:tc>
      </w:tr>
      <w:tr>
        <w:tblPrEx>
          <w:tblCellMar>
            <w:top w:w="0" w:type="dxa"/>
            <w:left w:w="108" w:type="dxa"/>
            <w:bottom w:w="0" w:type="dxa"/>
            <w:right w:w="108" w:type="dxa"/>
          </w:tblCellMar>
        </w:tblPrEx>
        <w:trPr>
          <w:trHeight w:val="490" w:hRule="atLeast"/>
        </w:trPr>
        <w:tc>
          <w:tcPr>
            <w:tcW w:w="5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效益指标</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社会效益指标</w:t>
            </w:r>
          </w:p>
        </w:tc>
        <w:tc>
          <w:tcPr>
            <w:tcW w:w="25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DRG付费改革覆盖率逐步提高</w:t>
            </w:r>
          </w:p>
        </w:tc>
        <w:tc>
          <w:tcPr>
            <w:tcW w:w="10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有效改善</w:t>
            </w:r>
          </w:p>
        </w:tc>
      </w:tr>
      <w:tr>
        <w:tblPrEx>
          <w:tblCellMar>
            <w:top w:w="0" w:type="dxa"/>
            <w:left w:w="108" w:type="dxa"/>
            <w:bottom w:w="0" w:type="dxa"/>
            <w:right w:w="108" w:type="dxa"/>
          </w:tblCellMar>
        </w:tblPrEx>
        <w:trPr>
          <w:trHeight w:val="490" w:hRule="atLeast"/>
        </w:trPr>
        <w:tc>
          <w:tcPr>
            <w:tcW w:w="5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rPr>
                <w:rFonts w:ascii="仿宋_GB2312" w:eastAsia="仿宋_GB2312" w:cs="仿宋_GB2312"/>
                <w:color w:val="auto"/>
                <w:sz w:val="20"/>
                <w:szCs w:val="20"/>
                <w:highlight w:val="none"/>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社会效益指标</w:t>
            </w:r>
          </w:p>
        </w:tc>
        <w:tc>
          <w:tcPr>
            <w:tcW w:w="25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提升全区经办队伍能力，提高经办服务水平</w:t>
            </w:r>
          </w:p>
        </w:tc>
        <w:tc>
          <w:tcPr>
            <w:tcW w:w="10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有效提升</w:t>
            </w:r>
          </w:p>
        </w:tc>
      </w:tr>
      <w:tr>
        <w:tblPrEx>
          <w:tblCellMar>
            <w:top w:w="0" w:type="dxa"/>
            <w:left w:w="108" w:type="dxa"/>
            <w:bottom w:w="0" w:type="dxa"/>
            <w:right w:w="108" w:type="dxa"/>
          </w:tblCellMar>
        </w:tblPrEx>
        <w:trPr>
          <w:trHeight w:val="480" w:hRule="atLeast"/>
        </w:trPr>
        <w:tc>
          <w:tcPr>
            <w:tcW w:w="5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rPr>
                <w:rFonts w:ascii="仿宋_GB2312" w:eastAsia="仿宋_GB2312" w:cs="仿宋_GB2312"/>
                <w:color w:val="auto"/>
                <w:sz w:val="20"/>
                <w:szCs w:val="20"/>
                <w:highlight w:val="none"/>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可持续影响指</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标</w:t>
            </w:r>
          </w:p>
        </w:tc>
        <w:tc>
          <w:tcPr>
            <w:tcW w:w="25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区域联盟议价采购药品、医用耗材执行期</w:t>
            </w:r>
          </w:p>
        </w:tc>
        <w:tc>
          <w:tcPr>
            <w:tcW w:w="10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≥2年</w:t>
            </w:r>
          </w:p>
        </w:tc>
      </w:tr>
      <w:tr>
        <w:tblPrEx>
          <w:tblCellMar>
            <w:top w:w="0" w:type="dxa"/>
            <w:left w:w="108" w:type="dxa"/>
            <w:bottom w:w="0" w:type="dxa"/>
            <w:right w:w="108" w:type="dxa"/>
          </w:tblCellMar>
        </w:tblPrEx>
        <w:trPr>
          <w:trHeight w:val="490" w:hRule="atLeast"/>
        </w:trPr>
        <w:tc>
          <w:tcPr>
            <w:tcW w:w="5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25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经办机构满意度</w:t>
            </w:r>
          </w:p>
        </w:tc>
        <w:tc>
          <w:tcPr>
            <w:tcW w:w="10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≥90%</w:t>
            </w:r>
          </w:p>
        </w:tc>
      </w:tr>
      <w:tr>
        <w:tblPrEx>
          <w:tblCellMar>
            <w:top w:w="0" w:type="dxa"/>
            <w:left w:w="108" w:type="dxa"/>
            <w:bottom w:w="0" w:type="dxa"/>
            <w:right w:w="108" w:type="dxa"/>
          </w:tblCellMar>
        </w:tblPrEx>
        <w:trPr>
          <w:trHeight w:val="495" w:hRule="atLeast"/>
        </w:trPr>
        <w:tc>
          <w:tcPr>
            <w:tcW w:w="5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rPr>
                <w:rFonts w:ascii="仿宋_GB2312" w:eastAsia="仿宋_GB2312" w:cs="仿宋_GB2312"/>
                <w:color w:val="auto"/>
                <w:sz w:val="20"/>
                <w:szCs w:val="20"/>
                <w:highlight w:val="none"/>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259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参赛满意度</w:t>
            </w:r>
          </w:p>
        </w:tc>
        <w:tc>
          <w:tcPr>
            <w:tcW w:w="10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autoSpaceDN/>
              <w:bidi w:val="0"/>
              <w:adjustRightInd w:val="0"/>
              <w:snapToGrid w:val="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≥90%</w:t>
            </w:r>
          </w:p>
        </w:tc>
      </w:tr>
    </w:tbl>
    <w:p>
      <w:pPr>
        <w:pStyle w:val="38"/>
        <w:jc w:val="both"/>
        <w:rPr>
          <w:color w:val="auto"/>
          <w:highlight w:val="none"/>
          <w:lang w:eastAsia="zh-CN"/>
        </w:rPr>
      </w:pPr>
    </w:p>
    <w:p>
      <w:pPr>
        <w:pStyle w:val="38"/>
        <w:jc w:val="both"/>
        <w:rPr>
          <w:color w:val="auto"/>
          <w:highlight w:val="none"/>
          <w:lang w:eastAsia="zh-CN"/>
        </w:rPr>
      </w:pPr>
    </w:p>
    <w:tbl>
      <w:tblPr>
        <w:tblStyle w:val="14"/>
        <w:tblW w:w="5000" w:type="pct"/>
        <w:tblInd w:w="0" w:type="dxa"/>
        <w:tblLayout w:type="autofit"/>
        <w:tblCellMar>
          <w:top w:w="0" w:type="dxa"/>
          <w:left w:w="108" w:type="dxa"/>
          <w:bottom w:w="0" w:type="dxa"/>
          <w:right w:w="108" w:type="dxa"/>
        </w:tblCellMar>
      </w:tblPr>
      <w:tblGrid>
        <w:gridCol w:w="1345"/>
        <w:gridCol w:w="1401"/>
        <w:gridCol w:w="576"/>
        <w:gridCol w:w="870"/>
        <w:gridCol w:w="1448"/>
        <w:gridCol w:w="931"/>
        <w:gridCol w:w="594"/>
        <w:gridCol w:w="428"/>
        <w:gridCol w:w="1355"/>
      </w:tblGrid>
      <w:tr>
        <w:tblPrEx>
          <w:tblCellMar>
            <w:top w:w="0" w:type="dxa"/>
            <w:left w:w="108" w:type="dxa"/>
            <w:bottom w:w="0" w:type="dxa"/>
            <w:right w:w="108" w:type="dxa"/>
          </w:tblCellMar>
        </w:tblPrEx>
        <w:tc>
          <w:tcPr>
            <w:tcW w:w="5000" w:type="pct"/>
            <w:gridSpan w:val="9"/>
            <w:tcBorders>
              <w:top w:val="nil"/>
              <w:left w:val="nil"/>
              <w:bottom w:val="nil"/>
              <w:right w:val="nil"/>
            </w:tcBorders>
            <w:shd w:val="clear" w:color="auto" w:fill="auto"/>
          </w:tcPr>
          <w:p>
            <w:pPr>
              <w:jc w:val="center"/>
              <w:textAlignment w:val="center"/>
              <w:rPr>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eastAsia="zh-CN"/>
              </w:rPr>
              <w:t>项 目 支 出 绩 效 目 标 表 ( 伊犁州 )</w:t>
            </w:r>
          </w:p>
        </w:tc>
      </w:tr>
      <w:tr>
        <w:tblPrEx>
          <w:tblCellMar>
            <w:top w:w="0" w:type="dxa"/>
            <w:left w:w="108" w:type="dxa"/>
            <w:bottom w:w="0" w:type="dxa"/>
            <w:right w:w="108" w:type="dxa"/>
          </w:tblCellMar>
        </w:tblPrEx>
        <w:tc>
          <w:tcPr>
            <w:tcW w:w="5000" w:type="pct"/>
            <w:gridSpan w:val="9"/>
            <w:tcBorders>
              <w:top w:val="nil"/>
              <w:left w:val="nil"/>
              <w:bottom w:val="nil"/>
              <w:right w:val="nil"/>
            </w:tcBorders>
            <w:shd w:val="clear" w:color="auto" w:fill="auto"/>
          </w:tcPr>
          <w:p>
            <w:pPr>
              <w:jc w:val="center"/>
              <w:textAlignment w:val="center"/>
              <w:rPr>
                <w:b/>
                <w:bCs/>
                <w:color w:val="auto"/>
                <w:sz w:val="24"/>
                <w:szCs w:val="24"/>
                <w:highlight w:val="none"/>
              </w:rPr>
            </w:pPr>
            <w:r>
              <w:rPr>
                <w:rStyle w:val="25"/>
                <w:rFonts w:hint="eastAsia" w:ascii="仿宋_GB2312" w:hAnsi="仿宋_GB2312" w:eastAsia="仿宋_GB2312" w:cs="仿宋_GB2312"/>
                <w:b w:val="0"/>
                <w:bCs w:val="0"/>
                <w:color w:val="auto"/>
                <w:sz w:val="24"/>
                <w:szCs w:val="24"/>
                <w:highlight w:val="none"/>
                <w:lang w:eastAsia="zh-CN"/>
              </w:rPr>
              <w:t>(2024年)</w:t>
            </w:r>
          </w:p>
        </w:tc>
      </w:tr>
      <w:tr>
        <w:tblPrEx>
          <w:tblCellMar>
            <w:top w:w="0" w:type="dxa"/>
            <w:left w:w="108" w:type="dxa"/>
            <w:bottom w:w="0" w:type="dxa"/>
            <w:right w:w="108" w:type="dxa"/>
          </w:tblCellMar>
        </w:tblPrEx>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预算单位</w:t>
            </w:r>
          </w:p>
        </w:tc>
        <w:tc>
          <w:tcPr>
            <w:tcW w:w="240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新疆维吾尔自治区医疗保障局</w:t>
            </w:r>
          </w:p>
        </w:tc>
        <w:tc>
          <w:tcPr>
            <w:tcW w:w="5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项目名称</w:t>
            </w:r>
          </w:p>
        </w:tc>
        <w:tc>
          <w:tcPr>
            <w:tcW w:w="132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医保能力提升经费</w:t>
            </w:r>
          </w:p>
        </w:tc>
      </w:tr>
      <w:tr>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项目资金</w:t>
            </w:r>
            <w:r>
              <w:rPr>
                <w:rFonts w:hint="eastAsia" w:ascii="仿宋_GB2312" w:eastAsia="仿宋_GB2312" w:cs="仿宋_GB2312"/>
                <w:b/>
                <w:bCs/>
                <w:color w:val="auto"/>
                <w:sz w:val="20"/>
                <w:szCs w:val="20"/>
                <w:highlight w:val="none"/>
                <w:lang w:eastAsia="zh-CN"/>
              </w:rPr>
              <w:br w:type="textWrapping"/>
            </w:r>
            <w:r>
              <w:rPr>
                <w:rFonts w:hint="eastAsia" w:ascii="仿宋_GB2312" w:eastAsia="仿宋_GB2312" w:cs="仿宋_GB2312"/>
                <w:b/>
                <w:bCs/>
                <w:color w:val="auto"/>
                <w:sz w:val="20"/>
                <w:szCs w:val="20"/>
                <w:highlight w:val="none"/>
                <w:lang w:eastAsia="zh-CN"/>
              </w:rPr>
              <w:t xml:space="preserve">  (万元)</w:t>
            </w:r>
          </w:p>
        </w:tc>
        <w:tc>
          <w:tcPr>
            <w:tcW w:w="11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年度资金总额：</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color w:val="auto"/>
                <w:sz w:val="20"/>
                <w:szCs w:val="20"/>
                <w:highlight w:val="none"/>
                <w:lang w:eastAsia="zh-CN"/>
              </w:rPr>
              <w:t>245</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其中：财政拨款</w:t>
            </w:r>
          </w:p>
        </w:tc>
        <w:tc>
          <w:tcPr>
            <w:tcW w:w="520"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245</w:t>
            </w:r>
          </w:p>
        </w:tc>
        <w:tc>
          <w:tcPr>
            <w:tcW w:w="5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其他资金</w:t>
            </w:r>
          </w:p>
        </w:tc>
        <w:tc>
          <w:tcPr>
            <w:tcW w:w="7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0</w:t>
            </w:r>
          </w:p>
        </w:tc>
      </w:tr>
      <w:tr>
        <w:tblPrEx>
          <w:tblCellMar>
            <w:top w:w="0" w:type="dxa"/>
            <w:left w:w="108" w:type="dxa"/>
            <w:bottom w:w="0" w:type="dxa"/>
            <w:right w:w="108" w:type="dxa"/>
          </w:tblCellMar>
        </w:tblPrEx>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项目总体目标</w:t>
            </w:r>
          </w:p>
        </w:tc>
        <w:tc>
          <w:tcPr>
            <w:tcW w:w="424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目标1:组织开展以“岗位练兵优服务，业务比武强规范”为主题的全地区医保经办系统练兵比武活动，通过练兵比武活动，为经办干部搭建补短板、强弱项、比技能的平台。</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2:常态化制度化落实药品耗材集中带量采购，推动医疗服务项目运行监测，建立长效医药集采落实情况、价格和供应监测机制，加强监测点建设，优先选择覆盖面大、信息化水平较好、反映区域内情况的单位作为监测点，逐步延伸至各级医疗机构、零售药店、配送企业，推动集中带量采购落实效果的监测能力提升，提高异常信息发现和处置能力。</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3:根据自治区DRG/DIP支付方式改革三年行动计划部署要求，逐步提高统筹地区、医疗机构、病种分组、医保基金覆盖率。统筹地区医疗机构覆盖面：2024年底实现全覆盖。统筹地区病种覆盖面：2024年底实现入组率达到90%以上。统筹地区医保基金总额预算覆盖率：2024年底不低于70%.</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4:加强医疗保障基金使用常态化监管，建立健全监督检查、智能监控、举报奖励、信用管理、综合监管、社会监督长效机制，多措并举织密基金监管网，进一步提升基金监管法制化、专业化、信息化水平，提升监管效能，有效维护医保基金安全；进一步压紧压实基金监管责任，强化医保行政监管责任、经办日常审核检查责任，推动落实定点医药机构医保基金使用主体责任、地方政府属地监管责任。</w:t>
            </w:r>
          </w:p>
        </w:tc>
      </w:tr>
      <w:tr>
        <w:tblPrEx>
          <w:tblCellMar>
            <w:top w:w="0" w:type="dxa"/>
            <w:left w:w="108" w:type="dxa"/>
            <w:bottom w:w="0" w:type="dxa"/>
            <w:right w:w="108" w:type="dxa"/>
          </w:tblCellMar>
        </w:tblPrEx>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一级指标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二级指标</w:t>
            </w:r>
          </w:p>
        </w:tc>
        <w:tc>
          <w:tcPr>
            <w:tcW w:w="24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三级指标</w:t>
            </w:r>
          </w:p>
        </w:tc>
        <w:tc>
          <w:tcPr>
            <w:tcW w:w="9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lang w:eastAsia="zh-CN"/>
              </w:rPr>
            </w:pPr>
            <w:r>
              <w:rPr>
                <w:rFonts w:hint="eastAsia" w:ascii="仿宋_GB2312" w:eastAsia="仿宋_GB2312" w:cs="仿宋_GB2312"/>
                <w:b/>
                <w:bCs/>
                <w:color w:val="auto"/>
                <w:sz w:val="20"/>
                <w:szCs w:val="20"/>
                <w:highlight w:val="none"/>
                <w:lang w:eastAsia="zh-CN"/>
              </w:rPr>
              <w:t>指标值(包含数字及文字描述)</w:t>
            </w:r>
          </w:p>
        </w:tc>
      </w:tr>
      <w:tr>
        <w:tblPrEx>
          <w:tblCellMar>
            <w:top w:w="0" w:type="dxa"/>
            <w:left w:w="108" w:type="dxa"/>
            <w:bottom w:w="0" w:type="dxa"/>
            <w:right w:w="108" w:type="dxa"/>
          </w:tblCellMar>
        </w:tblPrEx>
        <w:trPr>
          <w:trHeight w:val="522" w:hRule="atLeast"/>
        </w:trPr>
        <w:tc>
          <w:tcPr>
            <w:tcW w:w="7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产出指标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练兵比武活动比赛参加县市</w:t>
            </w:r>
          </w:p>
        </w:tc>
        <w:tc>
          <w:tcPr>
            <w:tcW w:w="9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≥10个</w:t>
            </w:r>
          </w:p>
        </w:tc>
      </w:tr>
      <w:tr>
        <w:tblPrEx>
          <w:tblCellMar>
            <w:top w:w="0" w:type="dxa"/>
            <w:left w:w="108" w:type="dxa"/>
            <w:bottom w:w="0" w:type="dxa"/>
            <w:right w:w="108" w:type="dxa"/>
          </w:tblCellMar>
        </w:tblPrEx>
        <w:trPr>
          <w:trHeight w:val="522" w:hRule="atLeast"/>
        </w:trPr>
        <w:tc>
          <w:tcPr>
            <w:tcW w:w="7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召开医药价格工作政策吹风会、宣传活动、调研指导次数</w:t>
            </w:r>
          </w:p>
        </w:tc>
        <w:tc>
          <w:tcPr>
            <w:tcW w:w="9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≥2次</w:t>
            </w:r>
          </w:p>
        </w:tc>
      </w:tr>
      <w:tr>
        <w:tblPrEx>
          <w:tblCellMar>
            <w:top w:w="0" w:type="dxa"/>
            <w:left w:w="108" w:type="dxa"/>
            <w:bottom w:w="0" w:type="dxa"/>
            <w:right w:w="108" w:type="dxa"/>
          </w:tblCellMar>
        </w:tblPrEx>
        <w:trPr>
          <w:trHeight w:val="522" w:hRule="atLeast"/>
        </w:trPr>
        <w:tc>
          <w:tcPr>
            <w:tcW w:w="7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召开医药价格工作会议或培训</w:t>
            </w:r>
          </w:p>
        </w:tc>
        <w:tc>
          <w:tcPr>
            <w:tcW w:w="9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≥2次</w:t>
            </w:r>
          </w:p>
        </w:tc>
      </w:tr>
      <w:tr>
        <w:tblPrEx>
          <w:tblCellMar>
            <w:top w:w="0" w:type="dxa"/>
            <w:left w:w="108" w:type="dxa"/>
            <w:bottom w:w="0" w:type="dxa"/>
            <w:right w:w="108" w:type="dxa"/>
          </w:tblCellMar>
        </w:tblPrEx>
        <w:trPr>
          <w:trHeight w:val="522" w:hRule="atLeast"/>
        </w:trPr>
        <w:tc>
          <w:tcPr>
            <w:tcW w:w="7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2024年底实现统筹地区病种覆盖面入组率</w:t>
            </w:r>
          </w:p>
        </w:tc>
        <w:tc>
          <w:tcPr>
            <w:tcW w:w="9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≥90%</w:t>
            </w:r>
          </w:p>
        </w:tc>
      </w:tr>
      <w:tr>
        <w:tblPrEx>
          <w:tblCellMar>
            <w:top w:w="0" w:type="dxa"/>
            <w:left w:w="108" w:type="dxa"/>
            <w:bottom w:w="0" w:type="dxa"/>
            <w:right w:w="108" w:type="dxa"/>
          </w:tblCellMar>
        </w:tblPrEx>
        <w:trPr>
          <w:trHeight w:val="522" w:hRule="atLeast"/>
        </w:trPr>
        <w:tc>
          <w:tcPr>
            <w:tcW w:w="7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定点医疗机构现场检查覆盖率</w:t>
            </w:r>
          </w:p>
        </w:tc>
        <w:tc>
          <w:tcPr>
            <w:tcW w:w="9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522" w:hRule="atLeast"/>
        </w:trPr>
        <w:tc>
          <w:tcPr>
            <w:tcW w:w="7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定点零售药店现场检查覆盖率</w:t>
            </w:r>
          </w:p>
        </w:tc>
        <w:tc>
          <w:tcPr>
            <w:tcW w:w="9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&gt;95%</w:t>
            </w:r>
          </w:p>
        </w:tc>
      </w:tr>
      <w:tr>
        <w:tblPrEx>
          <w:tblCellMar>
            <w:top w:w="0" w:type="dxa"/>
            <w:left w:w="108" w:type="dxa"/>
            <w:bottom w:w="0" w:type="dxa"/>
            <w:right w:w="108" w:type="dxa"/>
          </w:tblCellMar>
        </w:tblPrEx>
        <w:trPr>
          <w:trHeight w:val="522" w:hRule="atLeast"/>
        </w:trPr>
        <w:tc>
          <w:tcPr>
            <w:tcW w:w="7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对辖区内经办机构的抽查数量</w:t>
            </w:r>
          </w:p>
        </w:tc>
        <w:tc>
          <w:tcPr>
            <w:tcW w:w="9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≥30%</w:t>
            </w:r>
          </w:p>
        </w:tc>
      </w:tr>
      <w:tr>
        <w:tblPrEx>
          <w:tblCellMar>
            <w:top w:w="0" w:type="dxa"/>
            <w:left w:w="108" w:type="dxa"/>
            <w:bottom w:w="0" w:type="dxa"/>
            <w:right w:w="108" w:type="dxa"/>
          </w:tblCellMar>
        </w:tblPrEx>
        <w:trPr>
          <w:trHeight w:val="522" w:hRule="atLeast"/>
        </w:trPr>
        <w:tc>
          <w:tcPr>
            <w:tcW w:w="7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质量指标</w:t>
            </w:r>
          </w:p>
        </w:tc>
        <w:tc>
          <w:tcPr>
            <w:tcW w:w="24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购买医药价格监测硬件设施并配备至监测点</w:t>
            </w:r>
          </w:p>
        </w:tc>
        <w:tc>
          <w:tcPr>
            <w:tcW w:w="9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&gt;95%</w:t>
            </w:r>
          </w:p>
        </w:tc>
      </w:tr>
      <w:tr>
        <w:tblPrEx>
          <w:tblCellMar>
            <w:top w:w="0" w:type="dxa"/>
            <w:left w:w="108" w:type="dxa"/>
            <w:bottom w:w="0" w:type="dxa"/>
            <w:right w:w="108" w:type="dxa"/>
          </w:tblCellMar>
        </w:tblPrEx>
        <w:trPr>
          <w:trHeight w:val="522" w:hRule="atLeast"/>
        </w:trPr>
        <w:tc>
          <w:tcPr>
            <w:tcW w:w="7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时效指标</w:t>
            </w:r>
          </w:p>
        </w:tc>
        <w:tc>
          <w:tcPr>
            <w:tcW w:w="24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完成年度各类监督检查任务时间(基金监管)</w:t>
            </w:r>
          </w:p>
        </w:tc>
        <w:tc>
          <w:tcPr>
            <w:tcW w:w="9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2024年12月20日前</w:t>
            </w:r>
          </w:p>
        </w:tc>
      </w:tr>
      <w:tr>
        <w:tblPrEx>
          <w:tblCellMar>
            <w:top w:w="0" w:type="dxa"/>
            <w:left w:w="108" w:type="dxa"/>
            <w:bottom w:w="0" w:type="dxa"/>
            <w:right w:w="108" w:type="dxa"/>
          </w:tblCellMar>
        </w:tblPrEx>
        <w:trPr>
          <w:trHeight w:val="522" w:hRule="atLeast"/>
        </w:trPr>
        <w:tc>
          <w:tcPr>
            <w:tcW w:w="7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成本指标</w:t>
            </w:r>
          </w:p>
        </w:tc>
        <w:tc>
          <w:tcPr>
            <w:tcW w:w="24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DRG支付方式改革能力提升经费</w:t>
            </w:r>
          </w:p>
        </w:tc>
        <w:tc>
          <w:tcPr>
            <w:tcW w:w="9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≤80万元</w:t>
            </w:r>
          </w:p>
        </w:tc>
      </w:tr>
      <w:tr>
        <w:tblPrEx>
          <w:tblCellMar>
            <w:top w:w="0" w:type="dxa"/>
            <w:left w:w="108" w:type="dxa"/>
            <w:bottom w:w="0" w:type="dxa"/>
            <w:right w:w="108" w:type="dxa"/>
          </w:tblCellMar>
        </w:tblPrEx>
        <w:trPr>
          <w:trHeight w:val="522" w:hRule="atLeast"/>
        </w:trPr>
        <w:tc>
          <w:tcPr>
            <w:tcW w:w="7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效益指标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社会效益指标</w:t>
            </w:r>
          </w:p>
        </w:tc>
        <w:tc>
          <w:tcPr>
            <w:tcW w:w="24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提升州直经办队伍能力</w:t>
            </w:r>
          </w:p>
        </w:tc>
        <w:tc>
          <w:tcPr>
            <w:tcW w:w="9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有效提升</w:t>
            </w:r>
          </w:p>
        </w:tc>
      </w:tr>
      <w:tr>
        <w:tblPrEx>
          <w:tblCellMar>
            <w:top w:w="0" w:type="dxa"/>
            <w:left w:w="108" w:type="dxa"/>
            <w:bottom w:w="0" w:type="dxa"/>
            <w:right w:w="108" w:type="dxa"/>
          </w:tblCellMar>
        </w:tblPrEx>
        <w:trPr>
          <w:trHeight w:val="522" w:hRule="atLeast"/>
        </w:trPr>
        <w:tc>
          <w:tcPr>
            <w:tcW w:w="7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可持续影响指标</w:t>
            </w:r>
          </w:p>
        </w:tc>
        <w:tc>
          <w:tcPr>
            <w:tcW w:w="24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区域联盟议价采购药品、医用耗材执行期</w:t>
            </w:r>
          </w:p>
        </w:tc>
        <w:tc>
          <w:tcPr>
            <w:tcW w:w="9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≥2年</w:t>
            </w:r>
          </w:p>
        </w:tc>
      </w:tr>
      <w:tr>
        <w:tblPrEx>
          <w:tblCellMar>
            <w:top w:w="0" w:type="dxa"/>
            <w:left w:w="108" w:type="dxa"/>
            <w:bottom w:w="0" w:type="dxa"/>
            <w:right w:w="108" w:type="dxa"/>
          </w:tblCellMar>
        </w:tblPrEx>
        <w:trPr>
          <w:trHeight w:val="522" w:hRule="atLeast"/>
        </w:trPr>
        <w:tc>
          <w:tcPr>
            <w:tcW w:w="7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24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经办机构满意度</w:t>
            </w:r>
          </w:p>
        </w:tc>
        <w:tc>
          <w:tcPr>
            <w:tcW w:w="9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≥90%</w:t>
            </w:r>
          </w:p>
        </w:tc>
      </w:tr>
      <w:tr>
        <w:tblPrEx>
          <w:tblCellMar>
            <w:top w:w="0" w:type="dxa"/>
            <w:left w:w="108" w:type="dxa"/>
            <w:bottom w:w="0" w:type="dxa"/>
            <w:right w:w="108" w:type="dxa"/>
          </w:tblCellMar>
        </w:tblPrEx>
        <w:trPr>
          <w:trHeight w:val="522" w:hRule="atLeast"/>
        </w:trPr>
        <w:tc>
          <w:tcPr>
            <w:tcW w:w="7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24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参赛机构满意度</w:t>
            </w:r>
          </w:p>
        </w:tc>
        <w:tc>
          <w:tcPr>
            <w:tcW w:w="9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≥90%</w:t>
            </w:r>
          </w:p>
        </w:tc>
      </w:tr>
    </w:tbl>
    <w:p>
      <w:pPr>
        <w:pStyle w:val="38"/>
        <w:jc w:val="both"/>
        <w:rPr>
          <w:color w:val="auto"/>
          <w:highlight w:val="none"/>
          <w:lang w:eastAsia="zh-CN"/>
        </w:rPr>
      </w:pPr>
    </w:p>
    <w:p>
      <w:pPr>
        <w:pStyle w:val="38"/>
        <w:jc w:val="both"/>
        <w:rPr>
          <w:color w:val="auto"/>
          <w:highlight w:val="none"/>
          <w:lang w:eastAsia="zh-CN"/>
        </w:rPr>
      </w:pPr>
    </w:p>
    <w:tbl>
      <w:tblPr>
        <w:tblStyle w:val="14"/>
        <w:tblW w:w="5000" w:type="pct"/>
        <w:tblInd w:w="0" w:type="dxa"/>
        <w:tblLayout w:type="autofit"/>
        <w:tblCellMar>
          <w:top w:w="0" w:type="dxa"/>
          <w:left w:w="108" w:type="dxa"/>
          <w:bottom w:w="0" w:type="dxa"/>
          <w:right w:w="108" w:type="dxa"/>
        </w:tblCellMar>
      </w:tblPr>
      <w:tblGrid>
        <w:gridCol w:w="1290"/>
        <w:gridCol w:w="1351"/>
        <w:gridCol w:w="512"/>
        <w:gridCol w:w="823"/>
        <w:gridCol w:w="1457"/>
        <w:gridCol w:w="841"/>
        <w:gridCol w:w="888"/>
        <w:gridCol w:w="743"/>
        <w:gridCol w:w="1043"/>
      </w:tblGrid>
      <w:tr>
        <w:tblPrEx>
          <w:tblCellMar>
            <w:top w:w="0" w:type="dxa"/>
            <w:left w:w="108" w:type="dxa"/>
            <w:bottom w:w="0" w:type="dxa"/>
            <w:right w:w="108" w:type="dxa"/>
          </w:tblCellMar>
        </w:tblPrEx>
        <w:trPr>
          <w:trHeight w:val="23" w:hRule="atLeast"/>
        </w:trPr>
        <w:tc>
          <w:tcPr>
            <w:tcW w:w="5000" w:type="pct"/>
            <w:gridSpan w:val="9"/>
            <w:tcBorders>
              <w:top w:val="nil"/>
              <w:left w:val="nil"/>
              <w:bottom w:val="nil"/>
              <w:right w:val="nil"/>
            </w:tcBorders>
            <w:shd w:val="clear" w:color="auto" w:fill="auto"/>
          </w:tcPr>
          <w:p>
            <w:pPr>
              <w:jc w:val="center"/>
              <w:textAlignment w:val="center"/>
              <w:rPr>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eastAsia="zh-CN"/>
              </w:rPr>
              <w:t>项 目 支 出 绩 效 目 标 表 ( 塔城地区 )</w:t>
            </w:r>
          </w:p>
        </w:tc>
      </w:tr>
      <w:tr>
        <w:tblPrEx>
          <w:tblCellMar>
            <w:top w:w="0" w:type="dxa"/>
            <w:left w:w="108" w:type="dxa"/>
            <w:bottom w:w="0" w:type="dxa"/>
            <w:right w:w="108" w:type="dxa"/>
          </w:tblCellMar>
        </w:tblPrEx>
        <w:trPr>
          <w:trHeight w:val="23" w:hRule="atLeast"/>
        </w:trPr>
        <w:tc>
          <w:tcPr>
            <w:tcW w:w="5000" w:type="pct"/>
            <w:gridSpan w:val="9"/>
            <w:tcBorders>
              <w:top w:val="nil"/>
              <w:left w:val="nil"/>
              <w:bottom w:val="nil"/>
              <w:right w:val="nil"/>
            </w:tcBorders>
            <w:shd w:val="clear" w:color="auto" w:fill="auto"/>
          </w:tcPr>
          <w:p>
            <w:pPr>
              <w:jc w:val="center"/>
              <w:textAlignment w:val="center"/>
              <w:rPr>
                <w:b/>
                <w:bCs/>
                <w:color w:val="auto"/>
                <w:sz w:val="24"/>
                <w:szCs w:val="24"/>
                <w:highlight w:val="none"/>
              </w:rPr>
            </w:pPr>
            <w:r>
              <w:rPr>
                <w:rStyle w:val="25"/>
                <w:rFonts w:hint="eastAsia" w:ascii="仿宋_GB2312" w:hAnsi="仿宋_GB2312" w:eastAsia="仿宋_GB2312" w:cs="仿宋_GB2312"/>
                <w:b w:val="0"/>
                <w:bCs w:val="0"/>
                <w:color w:val="auto"/>
                <w:sz w:val="24"/>
                <w:szCs w:val="24"/>
                <w:highlight w:val="none"/>
                <w:lang w:eastAsia="zh-CN"/>
              </w:rPr>
              <w:t>(2024年)</w:t>
            </w:r>
          </w:p>
        </w:tc>
      </w:tr>
      <w:tr>
        <w:tblPrEx>
          <w:tblCellMar>
            <w:top w:w="0" w:type="dxa"/>
            <w:left w:w="108" w:type="dxa"/>
            <w:bottom w:w="0" w:type="dxa"/>
            <w:right w:w="108" w:type="dxa"/>
          </w:tblCellMar>
        </w:tblPrEx>
        <w:trPr>
          <w:trHeight w:val="23" w:hRule="atLeast"/>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预算单位</w:t>
            </w:r>
          </w:p>
        </w:tc>
        <w:tc>
          <w:tcPr>
            <w:tcW w:w="231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新疆维吾尔自治区医疗保障局</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项目名称</w:t>
            </w:r>
          </w:p>
        </w:tc>
        <w:tc>
          <w:tcPr>
            <w:tcW w:w="149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医保能力提升经费</w:t>
            </w:r>
          </w:p>
        </w:tc>
      </w:tr>
      <w:tr>
        <w:tblPrEx>
          <w:tblCellMar>
            <w:top w:w="0" w:type="dxa"/>
            <w:left w:w="108" w:type="dxa"/>
            <w:bottom w:w="0" w:type="dxa"/>
            <w:right w:w="108" w:type="dxa"/>
          </w:tblCellMar>
        </w:tblPrEx>
        <w:trPr>
          <w:trHeight w:val="23" w:hRule="atLeast"/>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项目资金</w:t>
            </w:r>
            <w:r>
              <w:rPr>
                <w:rFonts w:hint="eastAsia" w:ascii="仿宋_GB2312" w:eastAsia="仿宋_GB2312" w:cs="仿宋_GB2312"/>
                <w:b/>
                <w:bCs/>
                <w:color w:val="auto"/>
                <w:sz w:val="20"/>
                <w:szCs w:val="20"/>
                <w:highlight w:val="none"/>
                <w:lang w:eastAsia="zh-CN"/>
              </w:rPr>
              <w:br w:type="textWrapping"/>
            </w:r>
            <w:r>
              <w:rPr>
                <w:rFonts w:hint="eastAsia" w:ascii="仿宋_GB2312" w:eastAsia="仿宋_GB2312" w:cs="仿宋_GB2312"/>
                <w:b/>
                <w:bCs/>
                <w:color w:val="auto"/>
                <w:sz w:val="20"/>
                <w:szCs w:val="20"/>
                <w:highlight w:val="none"/>
                <w:lang w:eastAsia="zh-CN"/>
              </w:rPr>
              <w:t xml:space="preserve">  (万元)</w:t>
            </w:r>
          </w:p>
        </w:tc>
        <w:tc>
          <w:tcPr>
            <w:tcW w:w="10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年度资金总额：</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109</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其中：财政拨款</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109</w:t>
            </w:r>
          </w:p>
        </w:tc>
        <w:tc>
          <w:tcPr>
            <w:tcW w:w="9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其他资金</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0</w:t>
            </w:r>
          </w:p>
        </w:tc>
      </w:tr>
      <w:tr>
        <w:tblPrEx>
          <w:tblCellMar>
            <w:top w:w="0" w:type="dxa"/>
            <w:left w:w="108" w:type="dxa"/>
            <w:bottom w:w="0" w:type="dxa"/>
            <w:right w:w="108" w:type="dxa"/>
          </w:tblCellMar>
        </w:tblPrEx>
        <w:trPr>
          <w:trHeight w:val="23" w:hRule="atLeast"/>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项目总体目标</w:t>
            </w:r>
          </w:p>
        </w:tc>
        <w:tc>
          <w:tcPr>
            <w:tcW w:w="427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目标1:组织开展以“岗位练兵优服务，业务比武强规范”为主题的全地区医保经办系统练兵比武活动，通过练兵比武活动，为经办干部搭建补短板、强弱项、比技能的平台。</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2:常态化制度化落实药品耗材集中带量采购，推动医疗服务项目运行监测，建立长效医药集采落实情况、价格和供应监测机制，加强监测点建设，优先选择覆盖面大、信息化水平较好、反映区域内情况的单位作为监测点，逐步延伸至各级医疗机构、零售药店、配送企业，推动集中带量采购落实效果的监测能力提升，提高异常信息发现和处置能力。</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3:加强医疗保障基金使用常态化监管，建立健全监督检查、智能监控、举报奖励、信用管理、综合监管、社会监督长效机制，多措并举织密基金监管网，进一步提升基金监管法制化、专业化、信息化水平，提升监管效能，有效维护医保基金安全；进一步压紧压实基金监管责任，强化医保行政监管责任、经办日常审核检查责任，推动落实定点医药机构医保基金使用主体责任、地方政府属地监管责任。</w:t>
            </w:r>
          </w:p>
        </w:tc>
      </w:tr>
      <w:tr>
        <w:tblPrEx>
          <w:tblCellMar>
            <w:top w:w="0" w:type="dxa"/>
            <w:left w:w="108" w:type="dxa"/>
            <w:bottom w:w="0" w:type="dxa"/>
            <w:right w:w="108" w:type="dxa"/>
          </w:tblCellMar>
        </w:tblPrEx>
        <w:trPr>
          <w:trHeight w:val="23" w:hRule="atLeast"/>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一级指标</w:t>
            </w:r>
          </w:p>
        </w:tc>
        <w:tc>
          <w:tcPr>
            <w:tcW w:w="7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二级指标</w:t>
            </w:r>
          </w:p>
        </w:tc>
        <w:tc>
          <w:tcPr>
            <w:tcW w:w="252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三级指标</w:t>
            </w:r>
          </w:p>
        </w:tc>
        <w:tc>
          <w:tcPr>
            <w:tcW w:w="9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lang w:eastAsia="zh-CN"/>
              </w:rPr>
            </w:pPr>
            <w:r>
              <w:rPr>
                <w:rFonts w:hint="eastAsia" w:ascii="仿宋_GB2312" w:eastAsia="仿宋_GB2312" w:cs="仿宋_GB2312"/>
                <w:b/>
                <w:bCs/>
                <w:color w:val="auto"/>
                <w:sz w:val="20"/>
                <w:szCs w:val="20"/>
                <w:highlight w:val="none"/>
                <w:lang w:eastAsia="zh-CN"/>
              </w:rPr>
              <w:t>指标值(包含数字及文字描述)</w:t>
            </w:r>
          </w:p>
        </w:tc>
      </w:tr>
      <w:tr>
        <w:tblPrEx>
          <w:tblCellMar>
            <w:top w:w="0" w:type="dxa"/>
            <w:left w:w="108" w:type="dxa"/>
            <w:bottom w:w="0" w:type="dxa"/>
            <w:right w:w="108" w:type="dxa"/>
          </w:tblCellMar>
        </w:tblPrEx>
        <w:trPr>
          <w:trHeight w:val="680" w:hRule="atLeast"/>
        </w:trPr>
        <w:tc>
          <w:tcPr>
            <w:tcW w:w="7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产出指标</w:t>
            </w:r>
          </w:p>
        </w:tc>
        <w:tc>
          <w:tcPr>
            <w:tcW w:w="7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52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租赁会议场地数量</w:t>
            </w:r>
          </w:p>
        </w:tc>
        <w:tc>
          <w:tcPr>
            <w:tcW w:w="9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≥1个</w:t>
            </w:r>
          </w:p>
        </w:tc>
      </w:tr>
      <w:tr>
        <w:tblPrEx>
          <w:tblCellMar>
            <w:top w:w="0" w:type="dxa"/>
            <w:left w:w="108" w:type="dxa"/>
            <w:bottom w:w="0" w:type="dxa"/>
            <w:right w:w="108" w:type="dxa"/>
          </w:tblCellMar>
        </w:tblPrEx>
        <w:trPr>
          <w:trHeight w:val="680" w:hRule="atLeast"/>
        </w:trPr>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252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练兵比武参赛县市数量</w:t>
            </w:r>
          </w:p>
        </w:tc>
        <w:tc>
          <w:tcPr>
            <w:tcW w:w="9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≥7个</w:t>
            </w:r>
          </w:p>
        </w:tc>
      </w:tr>
      <w:tr>
        <w:tblPrEx>
          <w:tblCellMar>
            <w:top w:w="0" w:type="dxa"/>
            <w:left w:w="108" w:type="dxa"/>
            <w:bottom w:w="0" w:type="dxa"/>
            <w:right w:w="108" w:type="dxa"/>
          </w:tblCellMar>
        </w:tblPrEx>
        <w:trPr>
          <w:trHeight w:val="680" w:hRule="atLeast"/>
        </w:trPr>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52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召开医药价格工作政策吹风会、宣传活动、调研指导次数</w:t>
            </w:r>
          </w:p>
        </w:tc>
        <w:tc>
          <w:tcPr>
            <w:tcW w:w="9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≥2次</w:t>
            </w:r>
          </w:p>
        </w:tc>
      </w:tr>
      <w:tr>
        <w:tblPrEx>
          <w:tblCellMar>
            <w:top w:w="0" w:type="dxa"/>
            <w:left w:w="108" w:type="dxa"/>
            <w:bottom w:w="0" w:type="dxa"/>
            <w:right w:w="108" w:type="dxa"/>
          </w:tblCellMar>
        </w:tblPrEx>
        <w:trPr>
          <w:trHeight w:val="680" w:hRule="atLeast"/>
        </w:trPr>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52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召开医药价格工作会议或培训</w:t>
            </w:r>
          </w:p>
        </w:tc>
        <w:tc>
          <w:tcPr>
            <w:tcW w:w="9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≥2次</w:t>
            </w:r>
          </w:p>
        </w:tc>
      </w:tr>
      <w:tr>
        <w:tblPrEx>
          <w:tblCellMar>
            <w:top w:w="0" w:type="dxa"/>
            <w:left w:w="108" w:type="dxa"/>
            <w:bottom w:w="0" w:type="dxa"/>
            <w:right w:w="108" w:type="dxa"/>
          </w:tblCellMar>
        </w:tblPrEx>
        <w:trPr>
          <w:trHeight w:val="680" w:hRule="atLeast"/>
        </w:trPr>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52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定点医疗机构现场检查覆盖率</w:t>
            </w:r>
          </w:p>
        </w:tc>
        <w:tc>
          <w:tcPr>
            <w:tcW w:w="9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680" w:hRule="atLeast"/>
        </w:trPr>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52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定点零售药店现场检查覆盖率</w:t>
            </w:r>
          </w:p>
        </w:tc>
        <w:tc>
          <w:tcPr>
            <w:tcW w:w="9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680" w:hRule="atLeast"/>
        </w:trPr>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52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对辖区内经办机构的抽查数量</w:t>
            </w:r>
          </w:p>
        </w:tc>
        <w:tc>
          <w:tcPr>
            <w:tcW w:w="9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≥30%</w:t>
            </w:r>
          </w:p>
        </w:tc>
      </w:tr>
      <w:tr>
        <w:tblPrEx>
          <w:tblCellMar>
            <w:top w:w="0" w:type="dxa"/>
            <w:left w:w="108" w:type="dxa"/>
            <w:bottom w:w="0" w:type="dxa"/>
            <w:right w:w="108" w:type="dxa"/>
          </w:tblCellMar>
        </w:tblPrEx>
        <w:trPr>
          <w:trHeight w:val="680" w:hRule="atLeast"/>
        </w:trPr>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质量指标</w:t>
            </w:r>
          </w:p>
        </w:tc>
        <w:tc>
          <w:tcPr>
            <w:tcW w:w="252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购买医药价格监测硬件设施并配备至监测点</w:t>
            </w:r>
          </w:p>
        </w:tc>
        <w:tc>
          <w:tcPr>
            <w:tcW w:w="9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680" w:hRule="atLeast"/>
        </w:trPr>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时效指标</w:t>
            </w:r>
          </w:p>
        </w:tc>
        <w:tc>
          <w:tcPr>
            <w:tcW w:w="252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完成年度各类监督检查任务时间(基金监管)</w:t>
            </w:r>
          </w:p>
        </w:tc>
        <w:tc>
          <w:tcPr>
            <w:tcW w:w="9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2024年12月30日前</w:t>
            </w:r>
          </w:p>
        </w:tc>
      </w:tr>
      <w:tr>
        <w:tblPrEx>
          <w:tblCellMar>
            <w:top w:w="0" w:type="dxa"/>
            <w:left w:w="108" w:type="dxa"/>
            <w:bottom w:w="0" w:type="dxa"/>
            <w:right w:w="108" w:type="dxa"/>
          </w:tblCellMar>
        </w:tblPrEx>
        <w:trPr>
          <w:trHeight w:val="680" w:hRule="atLeast"/>
        </w:trPr>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成本指标</w:t>
            </w:r>
          </w:p>
        </w:tc>
        <w:tc>
          <w:tcPr>
            <w:tcW w:w="252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医保能力提升经费(基金监管)</w:t>
            </w:r>
          </w:p>
        </w:tc>
        <w:tc>
          <w:tcPr>
            <w:tcW w:w="9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≤60万元</w:t>
            </w:r>
          </w:p>
        </w:tc>
      </w:tr>
      <w:tr>
        <w:tblPrEx>
          <w:tblCellMar>
            <w:top w:w="0" w:type="dxa"/>
            <w:left w:w="108" w:type="dxa"/>
            <w:bottom w:w="0" w:type="dxa"/>
            <w:right w:w="108" w:type="dxa"/>
          </w:tblCellMar>
        </w:tblPrEx>
        <w:trPr>
          <w:trHeight w:val="680" w:hRule="atLeast"/>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效益指标</w:t>
            </w:r>
          </w:p>
        </w:tc>
        <w:tc>
          <w:tcPr>
            <w:tcW w:w="7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可持续影响指标</w:t>
            </w:r>
          </w:p>
        </w:tc>
        <w:tc>
          <w:tcPr>
            <w:tcW w:w="252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区域联盟议价采购药品、医用耗材执行期</w:t>
            </w:r>
          </w:p>
        </w:tc>
        <w:tc>
          <w:tcPr>
            <w:tcW w:w="9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≥2年</w:t>
            </w:r>
          </w:p>
        </w:tc>
      </w:tr>
      <w:tr>
        <w:tblPrEx>
          <w:tblCellMar>
            <w:top w:w="0" w:type="dxa"/>
            <w:left w:w="108" w:type="dxa"/>
            <w:bottom w:w="0" w:type="dxa"/>
            <w:right w:w="108" w:type="dxa"/>
          </w:tblCellMar>
        </w:tblPrEx>
        <w:trPr>
          <w:trHeight w:val="680" w:hRule="atLeast"/>
        </w:trPr>
        <w:tc>
          <w:tcPr>
            <w:tcW w:w="7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7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252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经办机构满意度</w:t>
            </w:r>
          </w:p>
        </w:tc>
        <w:tc>
          <w:tcPr>
            <w:tcW w:w="9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≥90%</w:t>
            </w:r>
          </w:p>
        </w:tc>
      </w:tr>
      <w:tr>
        <w:tblPrEx>
          <w:tblCellMar>
            <w:top w:w="0" w:type="dxa"/>
            <w:left w:w="108" w:type="dxa"/>
            <w:bottom w:w="0" w:type="dxa"/>
            <w:right w:w="108" w:type="dxa"/>
          </w:tblCellMar>
        </w:tblPrEx>
        <w:trPr>
          <w:trHeight w:val="680" w:hRule="atLeast"/>
        </w:trPr>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252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参赛县市满意度</w:t>
            </w:r>
          </w:p>
        </w:tc>
        <w:tc>
          <w:tcPr>
            <w:tcW w:w="9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≥90%</w:t>
            </w:r>
          </w:p>
        </w:tc>
      </w:tr>
    </w:tbl>
    <w:p>
      <w:pPr>
        <w:pStyle w:val="38"/>
        <w:jc w:val="both"/>
        <w:rPr>
          <w:color w:val="auto"/>
          <w:highlight w:val="none"/>
          <w:lang w:eastAsia="zh-CN"/>
        </w:rPr>
      </w:pPr>
    </w:p>
    <w:p>
      <w:pPr>
        <w:pStyle w:val="38"/>
        <w:jc w:val="both"/>
        <w:rPr>
          <w:color w:val="auto"/>
          <w:highlight w:val="none"/>
          <w:lang w:eastAsia="zh-CN"/>
        </w:rPr>
      </w:pPr>
    </w:p>
    <w:p>
      <w:pPr>
        <w:pStyle w:val="38"/>
        <w:jc w:val="both"/>
        <w:rPr>
          <w:color w:val="auto"/>
          <w:highlight w:val="none"/>
          <w:lang w:eastAsia="zh-CN"/>
        </w:rPr>
      </w:pPr>
    </w:p>
    <w:tbl>
      <w:tblPr>
        <w:tblStyle w:val="14"/>
        <w:tblW w:w="5000" w:type="pct"/>
        <w:tblInd w:w="0" w:type="dxa"/>
        <w:tblLayout w:type="autofit"/>
        <w:tblCellMar>
          <w:top w:w="0" w:type="dxa"/>
          <w:left w:w="108" w:type="dxa"/>
          <w:bottom w:w="0" w:type="dxa"/>
          <w:right w:w="108" w:type="dxa"/>
        </w:tblCellMar>
      </w:tblPr>
      <w:tblGrid>
        <w:gridCol w:w="1024"/>
        <w:gridCol w:w="1181"/>
        <w:gridCol w:w="1519"/>
        <w:gridCol w:w="1720"/>
        <w:gridCol w:w="1204"/>
        <w:gridCol w:w="1011"/>
        <w:gridCol w:w="1289"/>
      </w:tblGrid>
      <w:tr>
        <w:tblPrEx>
          <w:tblCellMar>
            <w:top w:w="0" w:type="dxa"/>
            <w:left w:w="108" w:type="dxa"/>
            <w:bottom w:w="0" w:type="dxa"/>
            <w:right w:w="108" w:type="dxa"/>
          </w:tblCellMar>
        </w:tblPrEx>
        <w:trPr>
          <w:trHeight w:val="420" w:hRule="atLeast"/>
        </w:trPr>
        <w:tc>
          <w:tcPr>
            <w:tcW w:w="5000" w:type="pct"/>
            <w:gridSpan w:val="7"/>
            <w:tcBorders>
              <w:top w:val="nil"/>
              <w:left w:val="nil"/>
              <w:bottom w:val="nil"/>
              <w:right w:val="nil"/>
            </w:tcBorders>
            <w:shd w:val="clear" w:color="auto" w:fill="auto"/>
          </w:tcPr>
          <w:p>
            <w:pPr>
              <w:jc w:val="center"/>
              <w:textAlignment w:val="center"/>
              <w:rPr>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eastAsia="zh-CN"/>
              </w:rPr>
              <w:t>项 目 支 出 绩 效 目 标 表 ( 阿勒泰地区 )</w:t>
            </w:r>
          </w:p>
        </w:tc>
      </w:tr>
      <w:tr>
        <w:tblPrEx>
          <w:tblCellMar>
            <w:top w:w="0" w:type="dxa"/>
            <w:left w:w="108" w:type="dxa"/>
            <w:bottom w:w="0" w:type="dxa"/>
            <w:right w:w="108" w:type="dxa"/>
          </w:tblCellMar>
        </w:tblPrEx>
        <w:trPr>
          <w:trHeight w:val="360" w:hRule="atLeast"/>
        </w:trPr>
        <w:tc>
          <w:tcPr>
            <w:tcW w:w="5000" w:type="pct"/>
            <w:gridSpan w:val="7"/>
            <w:tcBorders>
              <w:top w:val="nil"/>
              <w:left w:val="nil"/>
              <w:bottom w:val="nil"/>
              <w:right w:val="nil"/>
            </w:tcBorders>
            <w:shd w:val="clear" w:color="auto" w:fill="auto"/>
          </w:tcPr>
          <w:p>
            <w:pPr>
              <w:jc w:val="center"/>
              <w:textAlignment w:val="center"/>
              <w:rPr>
                <w:b/>
                <w:bCs/>
                <w:color w:val="auto"/>
                <w:sz w:val="24"/>
                <w:szCs w:val="24"/>
                <w:highlight w:val="none"/>
              </w:rPr>
            </w:pPr>
            <w:r>
              <w:rPr>
                <w:rStyle w:val="25"/>
                <w:rFonts w:hint="eastAsia" w:ascii="仿宋_GB2312" w:hAnsi="仿宋_GB2312" w:eastAsia="仿宋_GB2312" w:cs="仿宋_GB2312"/>
                <w:b w:val="0"/>
                <w:bCs w:val="0"/>
                <w:color w:val="auto"/>
                <w:sz w:val="24"/>
                <w:szCs w:val="24"/>
                <w:highlight w:val="none"/>
                <w:lang w:eastAsia="zh-CN"/>
              </w:rPr>
              <w:t>(2024年)</w:t>
            </w:r>
          </w:p>
        </w:tc>
      </w:tr>
      <w:tr>
        <w:tblPrEx>
          <w:tblCellMar>
            <w:top w:w="0" w:type="dxa"/>
            <w:left w:w="108" w:type="dxa"/>
            <w:bottom w:w="0" w:type="dxa"/>
            <w:right w:w="108" w:type="dxa"/>
          </w:tblCellMar>
        </w:tblPrEx>
        <w:trPr>
          <w:trHeight w:val="495"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预算单位</w:t>
            </w:r>
          </w:p>
        </w:tc>
        <w:tc>
          <w:tcPr>
            <w:tcW w:w="247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新疆维吾尔自治区医疗保障局</w:t>
            </w: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项目名称</w:t>
            </w:r>
          </w:p>
        </w:tc>
        <w:tc>
          <w:tcPr>
            <w:tcW w:w="12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医保能力提升经费</w:t>
            </w:r>
          </w:p>
        </w:tc>
      </w:tr>
      <w:tr>
        <w:tblPrEx>
          <w:tblCellMar>
            <w:top w:w="0" w:type="dxa"/>
            <w:left w:w="108" w:type="dxa"/>
            <w:bottom w:w="0" w:type="dxa"/>
            <w:right w:w="108" w:type="dxa"/>
          </w:tblCellMar>
        </w:tblPrEx>
        <w:trPr>
          <w:trHeight w:val="610"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项目资金</w:t>
            </w:r>
            <w:r>
              <w:rPr>
                <w:rFonts w:hint="eastAsia" w:ascii="仿宋_GB2312" w:eastAsia="仿宋_GB2312" w:cs="仿宋_GB2312"/>
                <w:b/>
                <w:bCs/>
                <w:color w:val="auto"/>
                <w:sz w:val="20"/>
                <w:szCs w:val="20"/>
                <w:highlight w:val="none"/>
                <w:lang w:eastAsia="zh-CN"/>
              </w:rPr>
              <w:br w:type="textWrapping"/>
            </w:r>
            <w:r>
              <w:rPr>
                <w:rFonts w:hint="eastAsia" w:ascii="仿宋_GB2312" w:eastAsia="仿宋_GB2312" w:cs="仿宋_GB2312"/>
                <w:b/>
                <w:bCs/>
                <w:color w:val="auto"/>
                <w:sz w:val="20"/>
                <w:szCs w:val="20"/>
                <w:highlight w:val="none"/>
                <w:lang w:eastAsia="zh-CN"/>
              </w:rPr>
              <w:t>(万元)</w:t>
            </w:r>
          </w:p>
        </w:tc>
        <w:tc>
          <w:tcPr>
            <w:tcW w:w="6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年度资金</w:t>
            </w:r>
            <w:r>
              <w:rPr>
                <w:rFonts w:hint="eastAsia" w:ascii="仿宋_GB2312" w:eastAsia="仿宋_GB2312" w:cs="仿宋_GB2312"/>
                <w:b/>
                <w:bCs/>
                <w:color w:val="auto"/>
                <w:sz w:val="20"/>
                <w:szCs w:val="20"/>
                <w:highlight w:val="none"/>
                <w:lang w:eastAsia="zh-CN"/>
              </w:rPr>
              <w:br w:type="textWrapping"/>
            </w:r>
            <w:r>
              <w:rPr>
                <w:rFonts w:hint="eastAsia" w:ascii="仿宋_GB2312" w:eastAsia="仿宋_GB2312" w:cs="仿宋_GB2312"/>
                <w:b/>
                <w:bCs/>
                <w:color w:val="auto"/>
                <w:sz w:val="20"/>
                <w:szCs w:val="20"/>
                <w:highlight w:val="none"/>
                <w:lang w:eastAsia="zh-CN"/>
              </w:rPr>
              <w:t>总额：</w:t>
            </w:r>
          </w:p>
        </w:tc>
        <w:tc>
          <w:tcPr>
            <w:tcW w:w="84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152.6</w:t>
            </w:r>
          </w:p>
        </w:tc>
        <w:tc>
          <w:tcPr>
            <w:tcW w:w="9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其中：财政拨款</w:t>
            </w: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152.6</w:t>
            </w:r>
          </w:p>
        </w:tc>
        <w:tc>
          <w:tcPr>
            <w:tcW w:w="5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其他资金</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0</w:t>
            </w:r>
          </w:p>
        </w:tc>
      </w:tr>
      <w:tr>
        <w:tblPrEx>
          <w:tblCellMar>
            <w:top w:w="0" w:type="dxa"/>
            <w:left w:w="108" w:type="dxa"/>
            <w:bottom w:w="0" w:type="dxa"/>
            <w:right w:w="108" w:type="dxa"/>
          </w:tblCellMar>
        </w:tblPrEx>
        <w:trPr>
          <w:trHeight w:val="573"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项目总体目标</w:t>
            </w:r>
          </w:p>
        </w:tc>
        <w:tc>
          <w:tcPr>
            <w:tcW w:w="442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目标1:组织开展以“岗位练兵优服务，业务比武强规范”为主题的全地区医保经办系统练兵比武活动，通过练兵比武活动，为经办干部搭建补短板、强弱项、比技能的平台。</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2:常态化制度化落实药品耗材集中带量采购，推动医疗服务项目运行监测，建立长效医药集采落实情况、价格和供应监测机制，加强监测点建设，优先选择覆盖面大、信息化水平较好、反映区域内情况的单位作为监测点，逐步延伸至各级医疗机构、零售药店、配送企业，推动集中带量采购落实效果的监测能力提升，提高异常信息发现和处置能力。</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3:根据自治区DRG/DIP支付方式改革三年行动计划部署要求，逐步提高统筹地区、医疗机构、病种分组、医保基金覆盖率。统筹地区医疗机构覆盖面：2024年底实现全覆盖。统筹地区病种覆盖面：2024年底实现入组率达到90%以上。统筹地区医保基金总额预算覆盖率：2024年底不低于70%。</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4:加强医疗保障基金使用常态化监管，建立健全监督检查、智能监控、举报奖励、信用管理、综合监管、社会监督长效机制，多措并举织密基金监管网，进一步提升基金监管法制化、专业化、信息化水平，提升监管效能，有效维护医保基金安全；进一步压紧压实基金监管责任，强化医保行政监管责任、经办日常审核检查责任，推动落实定点医药机构医保基金使用主体责任、地方政府属地监管责任。</w:t>
            </w:r>
          </w:p>
        </w:tc>
      </w:tr>
      <w:tr>
        <w:tblPrEx>
          <w:tblCellMar>
            <w:top w:w="0" w:type="dxa"/>
            <w:left w:w="108" w:type="dxa"/>
            <w:bottom w:w="0" w:type="dxa"/>
            <w:right w:w="108" w:type="dxa"/>
          </w:tblCellMar>
        </w:tblPrEx>
        <w:trPr>
          <w:trHeight w:val="530"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一级指标</w:t>
            </w:r>
          </w:p>
        </w:tc>
        <w:tc>
          <w:tcPr>
            <w:tcW w:w="6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二级指标</w:t>
            </w:r>
          </w:p>
        </w:tc>
        <w:tc>
          <w:tcPr>
            <w:tcW w:w="24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三级指标</w:t>
            </w:r>
          </w:p>
        </w:tc>
        <w:tc>
          <w:tcPr>
            <w:tcW w:w="12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lang w:eastAsia="zh-CN"/>
              </w:rPr>
            </w:pPr>
            <w:r>
              <w:rPr>
                <w:rFonts w:hint="eastAsia" w:ascii="仿宋_GB2312" w:eastAsia="仿宋_GB2312" w:cs="仿宋_GB2312"/>
                <w:b/>
                <w:bCs/>
                <w:color w:val="auto"/>
                <w:sz w:val="20"/>
                <w:szCs w:val="20"/>
                <w:highlight w:val="none"/>
                <w:lang w:eastAsia="zh-CN"/>
              </w:rPr>
              <w:t>指标值(包含数字及文字描述)</w:t>
            </w:r>
          </w:p>
        </w:tc>
      </w:tr>
      <w:tr>
        <w:tblPrEx>
          <w:tblCellMar>
            <w:top w:w="0" w:type="dxa"/>
            <w:left w:w="108" w:type="dxa"/>
            <w:bottom w:w="0" w:type="dxa"/>
            <w:right w:w="108" w:type="dxa"/>
          </w:tblCellMar>
        </w:tblPrEx>
        <w:trPr>
          <w:trHeight w:val="520" w:hRule="atLeast"/>
        </w:trPr>
        <w:tc>
          <w:tcPr>
            <w:tcW w:w="5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产出指标</w:t>
            </w:r>
          </w:p>
        </w:tc>
        <w:tc>
          <w:tcPr>
            <w:tcW w:w="6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租赁演播厅场地数量</w:t>
            </w:r>
          </w:p>
        </w:tc>
        <w:tc>
          <w:tcPr>
            <w:tcW w:w="12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≥1个</w:t>
            </w:r>
          </w:p>
        </w:tc>
      </w:tr>
      <w:tr>
        <w:tblPrEx>
          <w:tblCellMar>
            <w:top w:w="0" w:type="dxa"/>
            <w:left w:w="108" w:type="dxa"/>
            <w:bottom w:w="0" w:type="dxa"/>
            <w:right w:w="108" w:type="dxa"/>
          </w:tblCellMar>
        </w:tblPrEx>
        <w:trPr>
          <w:trHeight w:val="520" w:hRule="atLeast"/>
        </w:trPr>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6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练兵比武参赛经办机构数量</w:t>
            </w:r>
          </w:p>
        </w:tc>
        <w:tc>
          <w:tcPr>
            <w:tcW w:w="12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≥7个</w:t>
            </w:r>
          </w:p>
        </w:tc>
      </w:tr>
      <w:tr>
        <w:tblPrEx>
          <w:tblCellMar>
            <w:top w:w="0" w:type="dxa"/>
            <w:left w:w="108" w:type="dxa"/>
            <w:bottom w:w="0" w:type="dxa"/>
            <w:right w:w="108" w:type="dxa"/>
          </w:tblCellMar>
        </w:tblPrEx>
        <w:trPr>
          <w:trHeight w:val="520" w:hRule="atLeast"/>
        </w:trPr>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6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召开医药价格工作政策吹风会、宣传活动、调研指导次数</w:t>
            </w:r>
          </w:p>
        </w:tc>
        <w:tc>
          <w:tcPr>
            <w:tcW w:w="12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≥2次</w:t>
            </w:r>
          </w:p>
        </w:tc>
      </w:tr>
      <w:tr>
        <w:tblPrEx>
          <w:tblCellMar>
            <w:top w:w="0" w:type="dxa"/>
            <w:left w:w="108" w:type="dxa"/>
            <w:bottom w:w="0" w:type="dxa"/>
            <w:right w:w="108" w:type="dxa"/>
          </w:tblCellMar>
        </w:tblPrEx>
        <w:trPr>
          <w:trHeight w:val="520" w:hRule="atLeast"/>
        </w:trPr>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6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召开医药价格工作会议或培训</w:t>
            </w:r>
          </w:p>
        </w:tc>
        <w:tc>
          <w:tcPr>
            <w:tcW w:w="12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≥2次</w:t>
            </w:r>
          </w:p>
        </w:tc>
      </w:tr>
      <w:tr>
        <w:tblPrEx>
          <w:tblCellMar>
            <w:top w:w="0" w:type="dxa"/>
            <w:left w:w="108" w:type="dxa"/>
            <w:bottom w:w="0" w:type="dxa"/>
            <w:right w:w="108" w:type="dxa"/>
          </w:tblCellMar>
        </w:tblPrEx>
        <w:trPr>
          <w:trHeight w:val="520" w:hRule="atLeast"/>
        </w:trPr>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6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2024年统筹地区病种覆盖入组率</w:t>
            </w:r>
          </w:p>
        </w:tc>
        <w:tc>
          <w:tcPr>
            <w:tcW w:w="12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≥90%</w:t>
            </w:r>
          </w:p>
        </w:tc>
      </w:tr>
      <w:tr>
        <w:tblPrEx>
          <w:tblCellMar>
            <w:top w:w="0" w:type="dxa"/>
            <w:left w:w="108" w:type="dxa"/>
            <w:bottom w:w="0" w:type="dxa"/>
            <w:right w:w="108" w:type="dxa"/>
          </w:tblCellMar>
        </w:tblPrEx>
        <w:trPr>
          <w:trHeight w:val="510" w:hRule="atLeast"/>
        </w:trPr>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6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定点医疗机构现场检查覆盖率</w:t>
            </w:r>
          </w:p>
        </w:tc>
        <w:tc>
          <w:tcPr>
            <w:tcW w:w="12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520" w:hRule="atLeast"/>
        </w:trPr>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6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定点零售药店现场检查覆盖率</w:t>
            </w:r>
          </w:p>
        </w:tc>
        <w:tc>
          <w:tcPr>
            <w:tcW w:w="12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520" w:hRule="atLeast"/>
        </w:trPr>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6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定点零售药店的抽查数量</w:t>
            </w:r>
          </w:p>
        </w:tc>
        <w:tc>
          <w:tcPr>
            <w:tcW w:w="12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≥2家</w:t>
            </w:r>
          </w:p>
        </w:tc>
      </w:tr>
      <w:tr>
        <w:tblPrEx>
          <w:tblCellMar>
            <w:top w:w="0" w:type="dxa"/>
            <w:left w:w="108" w:type="dxa"/>
            <w:bottom w:w="0" w:type="dxa"/>
            <w:right w:w="108" w:type="dxa"/>
          </w:tblCellMar>
        </w:tblPrEx>
        <w:trPr>
          <w:trHeight w:val="510" w:hRule="atLeast"/>
        </w:trPr>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6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对辖区内经办机构的抽查数量</w:t>
            </w:r>
          </w:p>
        </w:tc>
        <w:tc>
          <w:tcPr>
            <w:tcW w:w="12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≥30%</w:t>
            </w:r>
          </w:p>
        </w:tc>
      </w:tr>
      <w:tr>
        <w:tblPrEx>
          <w:tblCellMar>
            <w:top w:w="0" w:type="dxa"/>
            <w:left w:w="108" w:type="dxa"/>
            <w:bottom w:w="0" w:type="dxa"/>
            <w:right w:w="108" w:type="dxa"/>
          </w:tblCellMar>
        </w:tblPrEx>
        <w:trPr>
          <w:trHeight w:val="520" w:hRule="atLeast"/>
        </w:trPr>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6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质量指标</w:t>
            </w:r>
          </w:p>
        </w:tc>
        <w:tc>
          <w:tcPr>
            <w:tcW w:w="24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购买医药价格监测硬件设施并配备至监测点</w:t>
            </w:r>
          </w:p>
        </w:tc>
        <w:tc>
          <w:tcPr>
            <w:tcW w:w="12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520" w:hRule="atLeast"/>
        </w:trPr>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6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成本指标</w:t>
            </w:r>
          </w:p>
        </w:tc>
        <w:tc>
          <w:tcPr>
            <w:tcW w:w="24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医保能力提升经费</w:t>
            </w:r>
          </w:p>
        </w:tc>
        <w:tc>
          <w:tcPr>
            <w:tcW w:w="12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≤60万元</w:t>
            </w:r>
          </w:p>
        </w:tc>
      </w:tr>
      <w:tr>
        <w:tblPrEx>
          <w:tblCellMar>
            <w:top w:w="0" w:type="dxa"/>
            <w:left w:w="108" w:type="dxa"/>
            <w:bottom w:w="0" w:type="dxa"/>
            <w:right w:w="108" w:type="dxa"/>
          </w:tblCellMar>
        </w:tblPrEx>
        <w:trPr>
          <w:trHeight w:val="540" w:hRule="atLeast"/>
        </w:trPr>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效益指标</w:t>
            </w:r>
          </w:p>
        </w:tc>
        <w:tc>
          <w:tcPr>
            <w:tcW w:w="6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可持续影响指</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标</w:t>
            </w:r>
          </w:p>
        </w:tc>
        <w:tc>
          <w:tcPr>
            <w:tcW w:w="248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区域联盟议价采购药品、医用耗材执行期</w:t>
            </w:r>
          </w:p>
        </w:tc>
        <w:tc>
          <w:tcPr>
            <w:tcW w:w="12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≥2年</w:t>
            </w:r>
          </w:p>
        </w:tc>
      </w:tr>
      <w:tr>
        <w:tblPrEx>
          <w:tblCellMar>
            <w:top w:w="0" w:type="dxa"/>
            <w:left w:w="108" w:type="dxa"/>
            <w:bottom w:w="0" w:type="dxa"/>
            <w:right w:w="108" w:type="dxa"/>
          </w:tblCellMar>
        </w:tblPrEx>
        <w:trPr>
          <w:trHeight w:val="520" w:hRule="atLeast"/>
        </w:trPr>
        <w:tc>
          <w:tcPr>
            <w:tcW w:w="5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6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2483" w:type="pct"/>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经办机构满意度</w:t>
            </w:r>
          </w:p>
        </w:tc>
        <w:tc>
          <w:tcPr>
            <w:tcW w:w="12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≥90%</w:t>
            </w:r>
          </w:p>
        </w:tc>
      </w:tr>
      <w:tr>
        <w:tblPrEx>
          <w:tblCellMar>
            <w:top w:w="0" w:type="dxa"/>
            <w:left w:w="108" w:type="dxa"/>
            <w:bottom w:w="0" w:type="dxa"/>
            <w:right w:w="108" w:type="dxa"/>
          </w:tblCellMar>
        </w:tblPrEx>
        <w:trPr>
          <w:trHeight w:val="525" w:hRule="atLeast"/>
        </w:trPr>
        <w:tc>
          <w:tcPr>
            <w:tcW w:w="5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6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2483" w:type="pct"/>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参赛区县满意度</w:t>
            </w:r>
          </w:p>
        </w:tc>
        <w:tc>
          <w:tcPr>
            <w:tcW w:w="1282" w:type="pct"/>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≥90%</w:t>
            </w:r>
          </w:p>
        </w:tc>
      </w:tr>
    </w:tbl>
    <w:p>
      <w:pPr>
        <w:pStyle w:val="38"/>
        <w:jc w:val="both"/>
        <w:rPr>
          <w:color w:val="auto"/>
          <w:highlight w:val="none"/>
          <w:lang w:eastAsia="zh-CN"/>
        </w:rPr>
      </w:pPr>
    </w:p>
    <w:p>
      <w:pPr>
        <w:pStyle w:val="38"/>
        <w:jc w:val="both"/>
        <w:rPr>
          <w:color w:val="auto"/>
          <w:highlight w:val="none"/>
          <w:lang w:eastAsia="zh-CN"/>
        </w:rPr>
      </w:pPr>
    </w:p>
    <w:tbl>
      <w:tblPr>
        <w:tblStyle w:val="14"/>
        <w:tblW w:w="5000" w:type="pct"/>
        <w:tblInd w:w="0" w:type="dxa"/>
        <w:tblLayout w:type="autofit"/>
        <w:tblCellMar>
          <w:top w:w="0" w:type="dxa"/>
          <w:left w:w="108" w:type="dxa"/>
          <w:bottom w:w="0" w:type="dxa"/>
          <w:right w:w="108" w:type="dxa"/>
        </w:tblCellMar>
      </w:tblPr>
      <w:tblGrid>
        <w:gridCol w:w="939"/>
        <w:gridCol w:w="1499"/>
        <w:gridCol w:w="594"/>
        <w:gridCol w:w="956"/>
        <w:gridCol w:w="1820"/>
        <w:gridCol w:w="1176"/>
        <w:gridCol w:w="931"/>
        <w:gridCol w:w="1033"/>
      </w:tblGrid>
      <w:tr>
        <w:tblPrEx>
          <w:tblCellMar>
            <w:top w:w="0" w:type="dxa"/>
            <w:left w:w="108" w:type="dxa"/>
            <w:bottom w:w="0" w:type="dxa"/>
            <w:right w:w="108" w:type="dxa"/>
          </w:tblCellMar>
        </w:tblPrEx>
        <w:trPr>
          <w:trHeight w:val="23" w:hRule="atLeast"/>
        </w:trPr>
        <w:tc>
          <w:tcPr>
            <w:tcW w:w="5000" w:type="pct"/>
            <w:gridSpan w:val="8"/>
            <w:tcBorders>
              <w:top w:val="nil"/>
              <w:left w:val="nil"/>
              <w:bottom w:val="nil"/>
              <w:right w:val="nil"/>
            </w:tcBorders>
            <w:shd w:val="clear" w:color="auto" w:fill="auto"/>
          </w:tcPr>
          <w:p>
            <w:pPr>
              <w:jc w:val="center"/>
              <w:textAlignment w:val="center"/>
              <w:rPr>
                <w:b/>
                <w:bCs/>
                <w:color w:val="auto"/>
                <w:sz w:val="30"/>
                <w:szCs w:val="30"/>
                <w:highlight w:val="none"/>
                <w:lang w:eastAsia="zh-CN"/>
              </w:rPr>
            </w:pPr>
            <w:r>
              <w:rPr>
                <w:rFonts w:hint="eastAsia" w:ascii="仿宋_GB2312" w:hAnsi="仿宋_GB2312" w:eastAsia="仿宋_GB2312" w:cs="仿宋_GB2312"/>
                <w:b/>
                <w:bCs/>
                <w:color w:val="auto"/>
                <w:sz w:val="32"/>
                <w:szCs w:val="32"/>
                <w:highlight w:val="none"/>
                <w:lang w:eastAsia="zh-CN"/>
              </w:rPr>
              <w:t>项 目 支 出 绩 效 目 标 表 ( 博州 )</w:t>
            </w:r>
          </w:p>
        </w:tc>
      </w:tr>
      <w:tr>
        <w:tblPrEx>
          <w:tblCellMar>
            <w:top w:w="0" w:type="dxa"/>
            <w:left w:w="108" w:type="dxa"/>
            <w:bottom w:w="0" w:type="dxa"/>
            <w:right w:w="108" w:type="dxa"/>
          </w:tblCellMar>
        </w:tblPrEx>
        <w:trPr>
          <w:trHeight w:val="23" w:hRule="atLeast"/>
        </w:trPr>
        <w:tc>
          <w:tcPr>
            <w:tcW w:w="5000" w:type="pct"/>
            <w:gridSpan w:val="8"/>
            <w:tcBorders>
              <w:top w:val="nil"/>
              <w:left w:val="nil"/>
              <w:bottom w:val="nil"/>
              <w:right w:val="nil"/>
            </w:tcBorders>
            <w:shd w:val="clear" w:color="auto" w:fill="auto"/>
          </w:tcPr>
          <w:p>
            <w:pPr>
              <w:jc w:val="center"/>
              <w:textAlignment w:val="center"/>
              <w:rPr>
                <w:b/>
                <w:bCs/>
                <w:color w:val="auto"/>
                <w:sz w:val="32"/>
                <w:szCs w:val="32"/>
                <w:highlight w:val="none"/>
              </w:rPr>
            </w:pPr>
            <w:r>
              <w:rPr>
                <w:rStyle w:val="25"/>
                <w:rFonts w:hint="eastAsia" w:ascii="仿宋_GB2312" w:hAnsi="仿宋_GB2312" w:eastAsia="仿宋_GB2312" w:cs="仿宋_GB2312"/>
                <w:b w:val="0"/>
                <w:bCs w:val="0"/>
                <w:color w:val="auto"/>
                <w:sz w:val="24"/>
                <w:szCs w:val="24"/>
                <w:highlight w:val="none"/>
                <w:lang w:eastAsia="zh-CN"/>
              </w:rPr>
              <w:t>(2024年)</w:t>
            </w:r>
          </w:p>
        </w:tc>
      </w:tr>
      <w:tr>
        <w:tblPrEx>
          <w:tblCellMar>
            <w:top w:w="0" w:type="dxa"/>
            <w:left w:w="108" w:type="dxa"/>
            <w:bottom w:w="0" w:type="dxa"/>
            <w:right w:w="108" w:type="dxa"/>
          </w:tblCellMar>
        </w:tblPrEx>
        <w:trPr>
          <w:trHeight w:val="23" w:hRule="atLeast"/>
        </w:trPr>
        <w:tc>
          <w:tcPr>
            <w:tcW w:w="5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预算单位</w:t>
            </w:r>
          </w:p>
        </w:tc>
        <w:tc>
          <w:tcPr>
            <w:tcW w:w="272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新疆维吾尔自治区医疗保障局</w:t>
            </w:r>
          </w:p>
        </w:tc>
        <w:tc>
          <w:tcPr>
            <w:tcW w:w="6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项目名称</w:t>
            </w:r>
          </w:p>
        </w:tc>
        <w:tc>
          <w:tcPr>
            <w:tcW w:w="10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医保能力提升经费</w:t>
            </w:r>
          </w:p>
        </w:tc>
      </w:tr>
      <w:tr>
        <w:tblPrEx>
          <w:tblCellMar>
            <w:top w:w="0" w:type="dxa"/>
            <w:left w:w="108" w:type="dxa"/>
            <w:bottom w:w="0" w:type="dxa"/>
            <w:right w:w="108" w:type="dxa"/>
          </w:tblCellMar>
        </w:tblPrEx>
        <w:trPr>
          <w:trHeight w:val="23" w:hRule="atLeast"/>
        </w:trPr>
        <w:tc>
          <w:tcPr>
            <w:tcW w:w="5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项目资金（万元）</w:t>
            </w:r>
          </w:p>
        </w:tc>
        <w:tc>
          <w:tcPr>
            <w:tcW w:w="11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年度资金总额：</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133</w:t>
            </w:r>
          </w:p>
        </w:tc>
        <w:tc>
          <w:tcPr>
            <w:tcW w:w="101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其中：财政拨款</w:t>
            </w:r>
          </w:p>
        </w:tc>
        <w:tc>
          <w:tcPr>
            <w:tcW w:w="6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133</w:t>
            </w:r>
          </w:p>
        </w:tc>
        <w:tc>
          <w:tcPr>
            <w:tcW w:w="5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其他资金</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0</w:t>
            </w:r>
          </w:p>
        </w:tc>
      </w:tr>
      <w:tr>
        <w:tblPrEx>
          <w:tblCellMar>
            <w:top w:w="0" w:type="dxa"/>
            <w:left w:w="108" w:type="dxa"/>
            <w:bottom w:w="0" w:type="dxa"/>
            <w:right w:w="108" w:type="dxa"/>
          </w:tblCellMar>
        </w:tblPrEx>
        <w:trPr>
          <w:trHeight w:val="23" w:hRule="atLeast"/>
        </w:trPr>
        <w:tc>
          <w:tcPr>
            <w:tcW w:w="5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项目总体目标</w:t>
            </w:r>
          </w:p>
        </w:tc>
        <w:tc>
          <w:tcPr>
            <w:tcW w:w="447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目标1:组织开展以“岗位练兵优服务，业务比武强规范”为主题的全地区医保经办系统练兵比武活动，通过练兵比武活动，为经办干部搭建补短板、强弱项、比技能的平台。</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2:常态化制度化落实药品耗材集中带量采购，推动医疗服务项目运行监测，建立长效医药集采落实情况、价格和供应监测机制，加强监测点建设，优先选择覆盖面大、信息化水平较好、反映区域内情况的单位作为监测点，逐步延伸至各级医疗机构、零售药店、配送企业，推动集中带量采购落实效果的监测能力提升，提高异常信息发现和处置能力。</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3:根据自治区DRG/DIP支付方式改革三年行动计划部署要求，逐步提高统筹地区、医疗机构、病种分组、医保基金覆盖率。统筹地区医疗机构覆盖面：2024年底实现全覆盖。统筹地区病种覆盖面：2024年底实现入组率达到90%以上。统筹地区医保基金总额预算覆盖率：2024年底不低于70%。</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4:加强医疗保障基金使用常态化监管，建立健全监督检查、智能监控、举报奖励、信用管理、综合监管、社会监督长效机制，多措并举织密基金监管网，进一步提升基金监管法制化、专业化、信息化水平，提升监管效能，有效维护医保基金安全；进一步压紧压实基金监管责任，强化医保行政监管责任、经办日常审核检查责任，推动落实定点医药机构医保基金使用主体责任、地方政府属地监管责任。</w:t>
            </w:r>
          </w:p>
        </w:tc>
      </w:tr>
      <w:tr>
        <w:tblPrEx>
          <w:tblCellMar>
            <w:top w:w="0" w:type="dxa"/>
            <w:left w:w="108" w:type="dxa"/>
            <w:bottom w:w="0" w:type="dxa"/>
            <w:right w:w="108" w:type="dxa"/>
          </w:tblCellMar>
        </w:tblPrEx>
        <w:trPr>
          <w:trHeight w:val="23" w:hRule="atLeast"/>
        </w:trPr>
        <w:tc>
          <w:tcPr>
            <w:tcW w:w="5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一级指标</w:t>
            </w:r>
          </w:p>
        </w:tc>
        <w:tc>
          <w:tcPr>
            <w:tcW w:w="8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二级指标</w:t>
            </w:r>
          </w:p>
        </w:tc>
        <w:tc>
          <w:tcPr>
            <w:tcW w:w="254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三级指标</w:t>
            </w:r>
          </w:p>
        </w:tc>
        <w:tc>
          <w:tcPr>
            <w:tcW w:w="10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lang w:eastAsia="zh-CN"/>
              </w:rPr>
            </w:pPr>
            <w:r>
              <w:rPr>
                <w:rFonts w:hint="eastAsia" w:ascii="仿宋_GB2312" w:eastAsia="仿宋_GB2312" w:cs="仿宋_GB2312"/>
                <w:b/>
                <w:bCs/>
                <w:color w:val="auto"/>
                <w:sz w:val="20"/>
                <w:szCs w:val="20"/>
                <w:highlight w:val="none"/>
                <w:lang w:eastAsia="zh-CN"/>
              </w:rPr>
              <w:t>指标值(包含数字及文字描述)</w:t>
            </w:r>
          </w:p>
        </w:tc>
      </w:tr>
      <w:tr>
        <w:tblPrEx>
          <w:tblCellMar>
            <w:top w:w="0" w:type="dxa"/>
            <w:left w:w="108" w:type="dxa"/>
            <w:bottom w:w="0" w:type="dxa"/>
            <w:right w:w="108" w:type="dxa"/>
          </w:tblCellMar>
        </w:tblPrEx>
        <w:trPr>
          <w:trHeight w:val="624" w:hRule="atLeast"/>
        </w:trPr>
        <w:tc>
          <w:tcPr>
            <w:tcW w:w="5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产出指标</w:t>
            </w:r>
          </w:p>
        </w:tc>
        <w:tc>
          <w:tcPr>
            <w:tcW w:w="8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54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租赁比赛场地数量</w:t>
            </w:r>
          </w:p>
        </w:tc>
        <w:tc>
          <w:tcPr>
            <w:tcW w:w="10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≥1个</w:t>
            </w:r>
          </w:p>
        </w:tc>
      </w:tr>
      <w:tr>
        <w:tblPrEx>
          <w:tblCellMar>
            <w:top w:w="0" w:type="dxa"/>
            <w:left w:w="108" w:type="dxa"/>
            <w:bottom w:w="0" w:type="dxa"/>
            <w:right w:w="108" w:type="dxa"/>
          </w:tblCellMar>
        </w:tblPrEx>
        <w:trPr>
          <w:trHeight w:val="624" w:hRule="atLeast"/>
        </w:trPr>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54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练兵比武参赛县市数量</w:t>
            </w:r>
          </w:p>
        </w:tc>
        <w:tc>
          <w:tcPr>
            <w:tcW w:w="10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≥4个</w:t>
            </w:r>
          </w:p>
        </w:tc>
      </w:tr>
      <w:tr>
        <w:tblPrEx>
          <w:tblCellMar>
            <w:top w:w="0" w:type="dxa"/>
            <w:left w:w="108" w:type="dxa"/>
            <w:bottom w:w="0" w:type="dxa"/>
            <w:right w:w="108" w:type="dxa"/>
          </w:tblCellMar>
        </w:tblPrEx>
        <w:trPr>
          <w:trHeight w:val="624" w:hRule="atLeast"/>
        </w:trPr>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54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召开医药价格工作政策吹风会、宣传活动、调研指导次数</w:t>
            </w:r>
          </w:p>
        </w:tc>
        <w:tc>
          <w:tcPr>
            <w:tcW w:w="10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≥2次</w:t>
            </w:r>
          </w:p>
        </w:tc>
      </w:tr>
      <w:tr>
        <w:tblPrEx>
          <w:tblCellMar>
            <w:top w:w="0" w:type="dxa"/>
            <w:left w:w="108" w:type="dxa"/>
            <w:bottom w:w="0" w:type="dxa"/>
            <w:right w:w="108" w:type="dxa"/>
          </w:tblCellMar>
        </w:tblPrEx>
        <w:trPr>
          <w:trHeight w:val="624" w:hRule="atLeast"/>
        </w:trPr>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54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召开医药价格工作会议或培训</w:t>
            </w:r>
          </w:p>
        </w:tc>
        <w:tc>
          <w:tcPr>
            <w:tcW w:w="10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≥2次</w:t>
            </w:r>
          </w:p>
        </w:tc>
      </w:tr>
      <w:tr>
        <w:tblPrEx>
          <w:tblCellMar>
            <w:top w:w="0" w:type="dxa"/>
            <w:left w:w="108" w:type="dxa"/>
            <w:bottom w:w="0" w:type="dxa"/>
            <w:right w:w="108" w:type="dxa"/>
          </w:tblCellMar>
        </w:tblPrEx>
        <w:trPr>
          <w:trHeight w:val="624" w:hRule="atLeast"/>
        </w:trPr>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54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2024年统筹地区病种覆盖入组率</w:t>
            </w:r>
          </w:p>
        </w:tc>
        <w:tc>
          <w:tcPr>
            <w:tcW w:w="10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≥90%</w:t>
            </w:r>
          </w:p>
        </w:tc>
      </w:tr>
      <w:tr>
        <w:tblPrEx>
          <w:tblCellMar>
            <w:top w:w="0" w:type="dxa"/>
            <w:left w:w="108" w:type="dxa"/>
            <w:bottom w:w="0" w:type="dxa"/>
            <w:right w:w="108" w:type="dxa"/>
          </w:tblCellMar>
        </w:tblPrEx>
        <w:trPr>
          <w:trHeight w:val="624" w:hRule="atLeast"/>
        </w:trPr>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54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定点医疗机构现场检查覆盖率</w:t>
            </w:r>
          </w:p>
        </w:tc>
        <w:tc>
          <w:tcPr>
            <w:tcW w:w="10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=100%</w:t>
            </w:r>
          </w:p>
        </w:tc>
      </w:tr>
      <w:tr>
        <w:tblPrEx>
          <w:tblCellMar>
            <w:top w:w="0" w:type="dxa"/>
            <w:left w:w="108" w:type="dxa"/>
            <w:bottom w:w="0" w:type="dxa"/>
            <w:right w:w="108" w:type="dxa"/>
          </w:tblCellMar>
        </w:tblPrEx>
        <w:trPr>
          <w:trHeight w:val="624" w:hRule="atLeast"/>
        </w:trPr>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54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定点零售药店现场检查覆盖率</w:t>
            </w:r>
          </w:p>
        </w:tc>
        <w:tc>
          <w:tcPr>
            <w:tcW w:w="10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=100%</w:t>
            </w:r>
          </w:p>
        </w:tc>
      </w:tr>
      <w:tr>
        <w:tblPrEx>
          <w:tblCellMar>
            <w:top w:w="0" w:type="dxa"/>
            <w:left w:w="108" w:type="dxa"/>
            <w:bottom w:w="0" w:type="dxa"/>
            <w:right w:w="108" w:type="dxa"/>
          </w:tblCellMar>
        </w:tblPrEx>
        <w:trPr>
          <w:trHeight w:val="624" w:hRule="atLeast"/>
        </w:trPr>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54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对辖区内经办机构的抽查数量</w:t>
            </w:r>
          </w:p>
        </w:tc>
        <w:tc>
          <w:tcPr>
            <w:tcW w:w="10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≥30%</w:t>
            </w:r>
          </w:p>
        </w:tc>
      </w:tr>
      <w:tr>
        <w:tblPrEx>
          <w:tblCellMar>
            <w:top w:w="0" w:type="dxa"/>
            <w:left w:w="108" w:type="dxa"/>
            <w:bottom w:w="0" w:type="dxa"/>
            <w:right w:w="108" w:type="dxa"/>
          </w:tblCellMar>
        </w:tblPrEx>
        <w:trPr>
          <w:trHeight w:val="624" w:hRule="atLeast"/>
        </w:trPr>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质量指标</w:t>
            </w:r>
          </w:p>
        </w:tc>
        <w:tc>
          <w:tcPr>
            <w:tcW w:w="254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购买医药价格监测硬件设施并配备至监测点</w:t>
            </w:r>
          </w:p>
        </w:tc>
        <w:tc>
          <w:tcPr>
            <w:tcW w:w="10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624" w:hRule="atLeast"/>
        </w:trPr>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时效指标</w:t>
            </w:r>
          </w:p>
        </w:tc>
        <w:tc>
          <w:tcPr>
            <w:tcW w:w="254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完成年度各类监督检查任务时问(基金监管)</w:t>
            </w:r>
          </w:p>
        </w:tc>
        <w:tc>
          <w:tcPr>
            <w:tcW w:w="10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2024年12月30日前</w:t>
            </w:r>
          </w:p>
        </w:tc>
      </w:tr>
      <w:tr>
        <w:tblPrEx>
          <w:tblCellMar>
            <w:top w:w="0" w:type="dxa"/>
            <w:left w:w="108" w:type="dxa"/>
            <w:bottom w:w="0" w:type="dxa"/>
            <w:right w:w="108" w:type="dxa"/>
          </w:tblCellMar>
        </w:tblPrEx>
        <w:trPr>
          <w:trHeight w:val="624" w:hRule="atLeast"/>
        </w:trPr>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成本指标</w:t>
            </w:r>
          </w:p>
        </w:tc>
        <w:tc>
          <w:tcPr>
            <w:tcW w:w="254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医保能力提升经费(基金监管)</w:t>
            </w:r>
          </w:p>
        </w:tc>
        <w:tc>
          <w:tcPr>
            <w:tcW w:w="10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≤50万元</w:t>
            </w:r>
          </w:p>
        </w:tc>
      </w:tr>
      <w:tr>
        <w:tblPrEx>
          <w:tblCellMar>
            <w:top w:w="0" w:type="dxa"/>
            <w:left w:w="108" w:type="dxa"/>
            <w:bottom w:w="0" w:type="dxa"/>
            <w:right w:w="108" w:type="dxa"/>
          </w:tblCellMar>
        </w:tblPrEx>
        <w:trPr>
          <w:trHeight w:val="624" w:hRule="atLeast"/>
        </w:trPr>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成本指标</w:t>
            </w:r>
          </w:p>
        </w:tc>
        <w:tc>
          <w:tcPr>
            <w:tcW w:w="254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DRG支付方式改革能力提升经费</w:t>
            </w:r>
          </w:p>
        </w:tc>
        <w:tc>
          <w:tcPr>
            <w:tcW w:w="1095" w:type="pct"/>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&lt;50万元</w:t>
            </w:r>
          </w:p>
        </w:tc>
      </w:tr>
      <w:tr>
        <w:tblPrEx>
          <w:tblCellMar>
            <w:top w:w="0" w:type="dxa"/>
            <w:left w:w="108" w:type="dxa"/>
            <w:bottom w:w="0" w:type="dxa"/>
            <w:right w:w="108" w:type="dxa"/>
          </w:tblCellMar>
        </w:tblPrEx>
        <w:trPr>
          <w:trHeight w:val="624" w:hRule="atLeast"/>
        </w:trPr>
        <w:tc>
          <w:tcPr>
            <w:tcW w:w="5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效益指标</w:t>
            </w:r>
          </w:p>
        </w:tc>
        <w:tc>
          <w:tcPr>
            <w:tcW w:w="838" w:type="pct"/>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社会效益指标</w:t>
            </w:r>
          </w:p>
        </w:tc>
        <w:tc>
          <w:tcPr>
            <w:tcW w:w="254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DRG付费改革覆盖率逐步提高</w:t>
            </w:r>
          </w:p>
        </w:tc>
        <w:tc>
          <w:tcPr>
            <w:tcW w:w="10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有效改善</w:t>
            </w:r>
          </w:p>
        </w:tc>
      </w:tr>
      <w:tr>
        <w:tblPrEx>
          <w:tblCellMar>
            <w:top w:w="0" w:type="dxa"/>
            <w:left w:w="108" w:type="dxa"/>
            <w:bottom w:w="0" w:type="dxa"/>
            <w:right w:w="108" w:type="dxa"/>
          </w:tblCellMar>
        </w:tblPrEx>
        <w:trPr>
          <w:trHeight w:val="624" w:hRule="atLeast"/>
        </w:trPr>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可持续影响指标</w:t>
            </w:r>
          </w:p>
        </w:tc>
        <w:tc>
          <w:tcPr>
            <w:tcW w:w="254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区域联盟议价采购药品、医用耗材执行期</w:t>
            </w:r>
          </w:p>
        </w:tc>
        <w:tc>
          <w:tcPr>
            <w:tcW w:w="10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≥2年</w:t>
            </w:r>
          </w:p>
        </w:tc>
      </w:tr>
      <w:tr>
        <w:tblPrEx>
          <w:tblCellMar>
            <w:top w:w="0" w:type="dxa"/>
            <w:left w:w="108" w:type="dxa"/>
            <w:bottom w:w="0" w:type="dxa"/>
            <w:right w:w="108" w:type="dxa"/>
          </w:tblCellMar>
        </w:tblPrEx>
        <w:trPr>
          <w:trHeight w:val="624" w:hRule="atLeast"/>
        </w:trPr>
        <w:tc>
          <w:tcPr>
            <w:tcW w:w="5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 xml:space="preserve">   标</w:t>
            </w:r>
          </w:p>
        </w:tc>
        <w:tc>
          <w:tcPr>
            <w:tcW w:w="8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254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医保定点医药机构满意度</w:t>
            </w:r>
          </w:p>
        </w:tc>
        <w:tc>
          <w:tcPr>
            <w:tcW w:w="10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≥90%</w:t>
            </w:r>
          </w:p>
        </w:tc>
      </w:tr>
      <w:tr>
        <w:tblPrEx>
          <w:tblCellMar>
            <w:top w:w="0" w:type="dxa"/>
            <w:left w:w="108" w:type="dxa"/>
            <w:bottom w:w="0" w:type="dxa"/>
            <w:right w:w="108" w:type="dxa"/>
          </w:tblCellMar>
        </w:tblPrEx>
        <w:trPr>
          <w:trHeight w:val="624" w:hRule="atLeast"/>
        </w:trPr>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254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参赛县市满意度</w:t>
            </w:r>
          </w:p>
        </w:tc>
        <w:tc>
          <w:tcPr>
            <w:tcW w:w="1095" w:type="pct"/>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≥90%</w:t>
            </w:r>
          </w:p>
        </w:tc>
      </w:tr>
    </w:tbl>
    <w:p>
      <w:pPr>
        <w:pStyle w:val="38"/>
        <w:jc w:val="both"/>
        <w:rPr>
          <w:color w:val="auto"/>
          <w:highlight w:val="none"/>
          <w:lang w:eastAsia="zh-CN"/>
        </w:rPr>
      </w:pPr>
    </w:p>
    <w:p>
      <w:pPr>
        <w:pStyle w:val="38"/>
        <w:jc w:val="both"/>
        <w:rPr>
          <w:color w:val="auto"/>
          <w:highlight w:val="none"/>
          <w:lang w:eastAsia="zh-CN"/>
        </w:rPr>
      </w:pPr>
    </w:p>
    <w:tbl>
      <w:tblPr>
        <w:tblStyle w:val="14"/>
        <w:tblW w:w="5000" w:type="pct"/>
        <w:tblInd w:w="0" w:type="dxa"/>
        <w:tblLayout w:type="autofit"/>
        <w:tblCellMar>
          <w:top w:w="0" w:type="dxa"/>
          <w:left w:w="108" w:type="dxa"/>
          <w:bottom w:w="0" w:type="dxa"/>
          <w:right w:w="108" w:type="dxa"/>
        </w:tblCellMar>
      </w:tblPr>
      <w:tblGrid>
        <w:gridCol w:w="1034"/>
        <w:gridCol w:w="1383"/>
        <w:gridCol w:w="623"/>
        <w:gridCol w:w="945"/>
        <w:gridCol w:w="1759"/>
        <w:gridCol w:w="1033"/>
        <w:gridCol w:w="922"/>
        <w:gridCol w:w="1249"/>
      </w:tblGrid>
      <w:tr>
        <w:tblPrEx>
          <w:tblCellMar>
            <w:top w:w="0" w:type="dxa"/>
            <w:left w:w="108" w:type="dxa"/>
            <w:bottom w:w="0" w:type="dxa"/>
            <w:right w:w="108" w:type="dxa"/>
          </w:tblCellMar>
        </w:tblPrEx>
        <w:tc>
          <w:tcPr>
            <w:tcW w:w="5000" w:type="pct"/>
            <w:gridSpan w:val="8"/>
            <w:tcBorders>
              <w:top w:val="nil"/>
              <w:left w:val="nil"/>
              <w:bottom w:val="nil"/>
              <w:right w:val="nil"/>
            </w:tcBorders>
            <w:shd w:val="clear" w:color="auto" w:fill="auto"/>
          </w:tcPr>
          <w:p>
            <w:pPr>
              <w:jc w:val="center"/>
              <w:textAlignment w:val="center"/>
              <w:rPr>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eastAsia="zh-CN"/>
              </w:rPr>
              <w:t>项 目 支 出 绩 效 目 标 表 ( 昌吉州 )</w:t>
            </w:r>
          </w:p>
        </w:tc>
      </w:tr>
      <w:tr>
        <w:tblPrEx>
          <w:tblCellMar>
            <w:top w:w="0" w:type="dxa"/>
            <w:left w:w="108" w:type="dxa"/>
            <w:bottom w:w="0" w:type="dxa"/>
            <w:right w:w="108" w:type="dxa"/>
          </w:tblCellMar>
        </w:tblPrEx>
        <w:tc>
          <w:tcPr>
            <w:tcW w:w="5000" w:type="pct"/>
            <w:gridSpan w:val="8"/>
            <w:tcBorders>
              <w:top w:val="nil"/>
              <w:left w:val="nil"/>
              <w:bottom w:val="nil"/>
              <w:right w:val="nil"/>
            </w:tcBorders>
            <w:shd w:val="clear" w:color="auto" w:fill="auto"/>
            <w:vAlign w:val="center"/>
          </w:tcPr>
          <w:p>
            <w:pPr>
              <w:jc w:val="center"/>
              <w:textAlignment w:val="center"/>
              <w:rPr>
                <w:b/>
                <w:bCs/>
                <w:color w:val="auto"/>
                <w:sz w:val="28"/>
                <w:szCs w:val="28"/>
                <w:highlight w:val="none"/>
              </w:rPr>
            </w:pPr>
            <w:r>
              <w:rPr>
                <w:rStyle w:val="25"/>
                <w:rFonts w:hint="eastAsia" w:ascii="仿宋_GB2312" w:hAnsi="仿宋_GB2312" w:eastAsia="仿宋_GB2312" w:cs="仿宋_GB2312"/>
                <w:b w:val="0"/>
                <w:bCs w:val="0"/>
                <w:color w:val="auto"/>
                <w:sz w:val="24"/>
                <w:szCs w:val="24"/>
                <w:highlight w:val="none"/>
                <w:lang w:eastAsia="zh-CN"/>
              </w:rPr>
              <w:t>(2024年)</w:t>
            </w:r>
          </w:p>
        </w:tc>
      </w:tr>
      <w:tr>
        <w:tblPrEx>
          <w:tblCellMar>
            <w:top w:w="0" w:type="dxa"/>
            <w:left w:w="108" w:type="dxa"/>
            <w:bottom w:w="0" w:type="dxa"/>
            <w:right w:w="108" w:type="dxa"/>
          </w:tblCellMar>
        </w:tblPrEx>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预算单位</w:t>
            </w:r>
          </w:p>
        </w:tc>
        <w:tc>
          <w:tcPr>
            <w:tcW w:w="263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新疆维吾尔自治区医疗保障局</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项目名称</w:t>
            </w:r>
          </w:p>
        </w:tc>
        <w:tc>
          <w:tcPr>
            <w:tcW w:w="12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医保能力提升经费</w:t>
            </w:r>
          </w:p>
        </w:tc>
      </w:tr>
      <w:tr>
        <w:tc>
          <w:tcPr>
            <w:tcW w:w="578" w:type="pct"/>
            <w:tcBorders>
              <w:top w:val="single" w:color="000000" w:sz="4" w:space="0"/>
              <w:left w:val="single" w:color="000000" w:sz="4" w:space="0"/>
              <w:bottom w:val="single" w:color="000000" w:sz="4" w:space="0"/>
              <w:right w:val="single" w:color="000000" w:sz="4" w:space="0"/>
            </w:tcBorders>
            <w:shd w:val="clear" w:color="auto" w:fill="auto"/>
          </w:tcPr>
          <w:p>
            <w:pPr>
              <w:jc w:val="center"/>
              <w:textAlignment w:val="top"/>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项目资金</w:t>
            </w:r>
            <w:r>
              <w:rPr>
                <w:rFonts w:hint="eastAsia" w:ascii="仿宋_GB2312" w:eastAsia="仿宋_GB2312" w:cs="仿宋_GB2312"/>
                <w:b/>
                <w:bCs/>
                <w:color w:val="auto"/>
                <w:sz w:val="20"/>
                <w:szCs w:val="20"/>
                <w:highlight w:val="none"/>
                <w:lang w:eastAsia="zh-CN"/>
              </w:rPr>
              <w:br w:type="textWrapping"/>
            </w:r>
            <w:r>
              <w:rPr>
                <w:rFonts w:hint="eastAsia" w:ascii="仿宋_GB2312" w:eastAsia="仿宋_GB2312" w:cs="仿宋_GB2312"/>
                <w:b/>
                <w:bCs/>
                <w:color w:val="auto"/>
                <w:sz w:val="20"/>
                <w:szCs w:val="20"/>
                <w:highlight w:val="none"/>
                <w:lang w:eastAsia="zh-CN"/>
              </w:rPr>
              <w:t>(万元)</w:t>
            </w:r>
          </w:p>
        </w:tc>
        <w:tc>
          <w:tcPr>
            <w:tcW w:w="11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年度资金总额：</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204</w:t>
            </w:r>
          </w:p>
        </w:tc>
        <w:tc>
          <w:tcPr>
            <w:tcW w:w="98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其中：财政拨款</w:t>
            </w:r>
          </w:p>
        </w:tc>
        <w:tc>
          <w:tcPr>
            <w:tcW w:w="57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204</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其他资金</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0</w:t>
            </w:r>
          </w:p>
        </w:tc>
      </w:tr>
      <w:tr>
        <w:tblPrEx>
          <w:tblCellMar>
            <w:top w:w="0" w:type="dxa"/>
            <w:left w:w="108" w:type="dxa"/>
            <w:bottom w:w="0" w:type="dxa"/>
            <w:right w:w="108" w:type="dxa"/>
          </w:tblCellMar>
        </w:tblPrEx>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项目总体</w:t>
            </w:r>
            <w:r>
              <w:rPr>
                <w:rFonts w:hint="eastAsia" w:ascii="仿宋_GB2312" w:eastAsia="仿宋_GB2312" w:cs="仿宋_GB2312"/>
                <w:b/>
                <w:bCs/>
                <w:color w:val="auto"/>
                <w:sz w:val="20"/>
                <w:szCs w:val="20"/>
                <w:highlight w:val="none"/>
                <w:lang w:eastAsia="zh-CN"/>
              </w:rPr>
              <w:br w:type="textWrapping"/>
            </w:r>
            <w:r>
              <w:rPr>
                <w:rFonts w:hint="eastAsia" w:ascii="仿宋_GB2312" w:eastAsia="仿宋_GB2312" w:cs="仿宋_GB2312"/>
                <w:b/>
                <w:bCs/>
                <w:color w:val="auto"/>
                <w:sz w:val="20"/>
                <w:szCs w:val="20"/>
                <w:highlight w:val="none"/>
                <w:lang w:eastAsia="zh-CN"/>
              </w:rPr>
              <w:t xml:space="preserve">   目标</w:t>
            </w:r>
          </w:p>
        </w:tc>
        <w:tc>
          <w:tcPr>
            <w:tcW w:w="442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目标1:组织开展以“岗位练兵优服务，业务比武强规范”为主题的全地区医保经办系统练兵比武活</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动，通过练兵比武活动，为经办干部搭建补短板、强弱项、比技能的平台。</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2:常态化制度化落实药品耗材集中带量采购，推动医疗服务项目运行监测，建立长效医药集采落实情况、价格和供应监测机制，加强监测点建设，优先选择覆盖面大、信息化水平较好、反映区域内情况的单位作为监测点，逐步延伸至各级医疗机构、零售药店、配送企业，推动集中带量采购落实效果的监测能力提升，提高异常信息发现和处置能力。</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3:根据自治区DRG/DIP支付方式改革三年行动计划部署要求，逐步提高统筹地区、医疗机构、病种分组、医保基金覆盖率。统筹地区医疗机构覆盖面：2024年底实现全覆盖。统筹地区病种覆盖面：2024年底实现入组率达到90%以上。统筹地区医保基金总额预算覆盖率：2024年底不低于70%。</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4:加强医疗保障基金使用常态化监管，建立健全监督检查、智能监控、举报奖励、信用管理、综合监管、社会监督长效机制，多措并举织密基金监管网，进一步提升基金监管法制化、专业化、信息化水平，提升监管效能，有效维护医保基金安全；进一步压紧压实基金监管责任，强化医保行政监管责任、经办日常审核检查责任，推动落实定点医药机构医保基金使用主体责任、地方政府属地监管责任。</w:t>
            </w:r>
          </w:p>
        </w:tc>
      </w:tr>
      <w:tr>
        <w:tblPrEx>
          <w:tblCellMar>
            <w:top w:w="0" w:type="dxa"/>
            <w:left w:w="108" w:type="dxa"/>
            <w:bottom w:w="0" w:type="dxa"/>
            <w:right w:w="108" w:type="dxa"/>
          </w:tblCellMar>
        </w:tblPrEx>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一级指标</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二级指标</w:t>
            </w:r>
          </w:p>
        </w:tc>
        <w:tc>
          <w:tcPr>
            <w:tcW w:w="243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三级指标</w:t>
            </w:r>
          </w:p>
        </w:tc>
        <w:tc>
          <w:tcPr>
            <w:tcW w:w="12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lang w:eastAsia="zh-CN"/>
              </w:rPr>
            </w:pPr>
            <w:r>
              <w:rPr>
                <w:rFonts w:hint="eastAsia" w:ascii="仿宋_GB2312" w:eastAsia="仿宋_GB2312" w:cs="仿宋_GB2312"/>
                <w:b/>
                <w:bCs/>
                <w:color w:val="auto"/>
                <w:sz w:val="20"/>
                <w:szCs w:val="20"/>
                <w:highlight w:val="none"/>
                <w:lang w:eastAsia="zh-CN"/>
              </w:rPr>
              <w:t>指标值(包含数字及文字描述)</w:t>
            </w:r>
          </w:p>
        </w:tc>
      </w:tr>
      <w:tr>
        <w:tblPrEx>
          <w:tblCellMar>
            <w:top w:w="0" w:type="dxa"/>
            <w:left w:w="108" w:type="dxa"/>
            <w:bottom w:w="0" w:type="dxa"/>
            <w:right w:w="108" w:type="dxa"/>
          </w:tblCellMar>
        </w:tblPrEx>
        <w:trPr>
          <w:trHeight w:val="737" w:hRule="atLeast"/>
        </w:trPr>
        <w:tc>
          <w:tcPr>
            <w:tcW w:w="5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产出指标</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3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租赁演播厅场地数量</w:t>
            </w:r>
          </w:p>
        </w:tc>
        <w:tc>
          <w:tcPr>
            <w:tcW w:w="12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≥1个</w:t>
            </w:r>
          </w:p>
        </w:tc>
      </w:tr>
      <w:tr>
        <w:tblPrEx>
          <w:tblCellMar>
            <w:top w:w="0" w:type="dxa"/>
            <w:left w:w="108" w:type="dxa"/>
            <w:bottom w:w="0" w:type="dxa"/>
            <w:right w:w="108" w:type="dxa"/>
          </w:tblCellMar>
        </w:tblPrEx>
        <w:trPr>
          <w:trHeight w:val="737" w:hRule="atLeast"/>
        </w:trPr>
        <w:tc>
          <w:tcPr>
            <w:tcW w:w="5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3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练兵比武参赛县市数量</w:t>
            </w:r>
          </w:p>
        </w:tc>
        <w:tc>
          <w:tcPr>
            <w:tcW w:w="12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≥7个</w:t>
            </w:r>
          </w:p>
        </w:tc>
      </w:tr>
      <w:tr>
        <w:tblPrEx>
          <w:tblCellMar>
            <w:top w:w="0" w:type="dxa"/>
            <w:left w:w="108" w:type="dxa"/>
            <w:bottom w:w="0" w:type="dxa"/>
            <w:right w:w="108" w:type="dxa"/>
          </w:tblCellMar>
        </w:tblPrEx>
        <w:trPr>
          <w:trHeight w:val="737" w:hRule="atLeast"/>
        </w:trPr>
        <w:tc>
          <w:tcPr>
            <w:tcW w:w="5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3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召开医药价格工作政策吹风会、宣传活动、调研指导次数</w:t>
            </w:r>
          </w:p>
        </w:tc>
        <w:tc>
          <w:tcPr>
            <w:tcW w:w="12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≥2次</w:t>
            </w:r>
          </w:p>
        </w:tc>
      </w:tr>
      <w:tr>
        <w:tblPrEx>
          <w:tblCellMar>
            <w:top w:w="0" w:type="dxa"/>
            <w:left w:w="108" w:type="dxa"/>
            <w:bottom w:w="0" w:type="dxa"/>
            <w:right w:w="108" w:type="dxa"/>
          </w:tblCellMar>
        </w:tblPrEx>
        <w:trPr>
          <w:trHeight w:val="737" w:hRule="atLeast"/>
        </w:trPr>
        <w:tc>
          <w:tcPr>
            <w:tcW w:w="5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3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召开医药价格工作会议或培训</w:t>
            </w:r>
          </w:p>
        </w:tc>
        <w:tc>
          <w:tcPr>
            <w:tcW w:w="12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≥2次</w:t>
            </w:r>
          </w:p>
        </w:tc>
      </w:tr>
      <w:tr>
        <w:tblPrEx>
          <w:tblCellMar>
            <w:top w:w="0" w:type="dxa"/>
            <w:left w:w="108" w:type="dxa"/>
            <w:bottom w:w="0" w:type="dxa"/>
            <w:right w:w="108" w:type="dxa"/>
          </w:tblCellMar>
        </w:tblPrEx>
        <w:trPr>
          <w:trHeight w:val="737" w:hRule="atLeast"/>
        </w:trPr>
        <w:tc>
          <w:tcPr>
            <w:tcW w:w="5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3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2024年统筹地区病种覆盖入组率</w:t>
            </w:r>
          </w:p>
        </w:tc>
        <w:tc>
          <w:tcPr>
            <w:tcW w:w="12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≥90%</w:t>
            </w:r>
          </w:p>
        </w:tc>
      </w:tr>
      <w:tr>
        <w:tblPrEx>
          <w:tblCellMar>
            <w:top w:w="0" w:type="dxa"/>
            <w:left w:w="108" w:type="dxa"/>
            <w:bottom w:w="0" w:type="dxa"/>
            <w:right w:w="108" w:type="dxa"/>
          </w:tblCellMar>
        </w:tblPrEx>
        <w:trPr>
          <w:trHeight w:val="737" w:hRule="atLeast"/>
        </w:trPr>
        <w:tc>
          <w:tcPr>
            <w:tcW w:w="5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3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定点医疗机构现场检查覆盖率</w:t>
            </w:r>
          </w:p>
        </w:tc>
        <w:tc>
          <w:tcPr>
            <w:tcW w:w="12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737" w:hRule="atLeast"/>
        </w:trPr>
        <w:tc>
          <w:tcPr>
            <w:tcW w:w="5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3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定点零售药店现场检查覆盖率</w:t>
            </w:r>
          </w:p>
        </w:tc>
        <w:tc>
          <w:tcPr>
            <w:tcW w:w="12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737" w:hRule="atLeast"/>
        </w:trPr>
        <w:tc>
          <w:tcPr>
            <w:tcW w:w="5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3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对辖区内经办机构的抽查数量</w:t>
            </w:r>
          </w:p>
        </w:tc>
        <w:tc>
          <w:tcPr>
            <w:tcW w:w="12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≥30%</w:t>
            </w:r>
          </w:p>
        </w:tc>
      </w:tr>
      <w:tr>
        <w:tblPrEx>
          <w:tblCellMar>
            <w:top w:w="0" w:type="dxa"/>
            <w:left w:w="108" w:type="dxa"/>
            <w:bottom w:w="0" w:type="dxa"/>
            <w:right w:w="108" w:type="dxa"/>
          </w:tblCellMar>
        </w:tblPrEx>
        <w:trPr>
          <w:trHeight w:val="737" w:hRule="atLeast"/>
        </w:trPr>
        <w:tc>
          <w:tcPr>
            <w:tcW w:w="5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质量指标</w:t>
            </w:r>
          </w:p>
        </w:tc>
        <w:tc>
          <w:tcPr>
            <w:tcW w:w="243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购买医药价格监测硬件设施并配备至监测点</w:t>
            </w:r>
          </w:p>
        </w:tc>
        <w:tc>
          <w:tcPr>
            <w:tcW w:w="12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737" w:hRule="atLeast"/>
        </w:trPr>
        <w:tc>
          <w:tcPr>
            <w:tcW w:w="5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时效指标</w:t>
            </w:r>
          </w:p>
        </w:tc>
        <w:tc>
          <w:tcPr>
            <w:tcW w:w="243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完成年度各类监督检查任务时问(基金监管)</w:t>
            </w:r>
          </w:p>
        </w:tc>
        <w:tc>
          <w:tcPr>
            <w:tcW w:w="12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2024年12月31日前</w:t>
            </w:r>
          </w:p>
        </w:tc>
      </w:tr>
      <w:tr>
        <w:tblPrEx>
          <w:tblCellMar>
            <w:top w:w="0" w:type="dxa"/>
            <w:left w:w="108" w:type="dxa"/>
            <w:bottom w:w="0" w:type="dxa"/>
            <w:right w:w="108" w:type="dxa"/>
          </w:tblCellMar>
        </w:tblPrEx>
        <w:trPr>
          <w:trHeight w:val="737" w:hRule="atLeast"/>
        </w:trPr>
        <w:tc>
          <w:tcPr>
            <w:tcW w:w="5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成本指标</w:t>
            </w:r>
          </w:p>
        </w:tc>
        <w:tc>
          <w:tcPr>
            <w:tcW w:w="243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DRG支付方式改革能力提升经费</w:t>
            </w:r>
          </w:p>
        </w:tc>
        <w:tc>
          <w:tcPr>
            <w:tcW w:w="12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≤50万元</w:t>
            </w:r>
          </w:p>
        </w:tc>
      </w:tr>
      <w:tr>
        <w:tblPrEx>
          <w:tblCellMar>
            <w:top w:w="0" w:type="dxa"/>
            <w:left w:w="108" w:type="dxa"/>
            <w:bottom w:w="0" w:type="dxa"/>
            <w:right w:w="108" w:type="dxa"/>
          </w:tblCellMar>
        </w:tblPrEx>
        <w:trPr>
          <w:trHeight w:val="737" w:hRule="atLeast"/>
        </w:trPr>
        <w:tc>
          <w:tcPr>
            <w:tcW w:w="5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效益指标</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社会效益指标</w:t>
            </w:r>
          </w:p>
        </w:tc>
        <w:tc>
          <w:tcPr>
            <w:tcW w:w="243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提升昌吉州经办队伍能力，提高经办服务水平</w:t>
            </w:r>
          </w:p>
        </w:tc>
        <w:tc>
          <w:tcPr>
            <w:tcW w:w="12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有效提升</w:t>
            </w:r>
          </w:p>
        </w:tc>
      </w:tr>
      <w:tr>
        <w:tblPrEx>
          <w:tblCellMar>
            <w:top w:w="0" w:type="dxa"/>
            <w:left w:w="108" w:type="dxa"/>
            <w:bottom w:w="0" w:type="dxa"/>
            <w:right w:w="108" w:type="dxa"/>
          </w:tblCellMar>
        </w:tblPrEx>
        <w:trPr>
          <w:trHeight w:val="737" w:hRule="atLeast"/>
        </w:trPr>
        <w:tc>
          <w:tcPr>
            <w:tcW w:w="5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可持续影响指标</w:t>
            </w:r>
          </w:p>
        </w:tc>
        <w:tc>
          <w:tcPr>
            <w:tcW w:w="243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区域联盟议价采购药品、医用耗材执行期</w:t>
            </w:r>
          </w:p>
        </w:tc>
        <w:tc>
          <w:tcPr>
            <w:tcW w:w="12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≥2年</w:t>
            </w:r>
          </w:p>
        </w:tc>
      </w:tr>
      <w:tr>
        <w:tblPrEx>
          <w:tblCellMar>
            <w:top w:w="0" w:type="dxa"/>
            <w:left w:w="108" w:type="dxa"/>
            <w:bottom w:w="0" w:type="dxa"/>
            <w:right w:w="108" w:type="dxa"/>
          </w:tblCellMar>
        </w:tblPrEx>
        <w:trPr>
          <w:trHeight w:val="737" w:hRule="atLeast"/>
        </w:trPr>
        <w:tc>
          <w:tcPr>
            <w:tcW w:w="5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243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经办机构满意度</w:t>
            </w:r>
          </w:p>
        </w:tc>
        <w:tc>
          <w:tcPr>
            <w:tcW w:w="12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≥90%</w:t>
            </w:r>
          </w:p>
        </w:tc>
      </w:tr>
      <w:tr>
        <w:tblPrEx>
          <w:tblCellMar>
            <w:top w:w="0" w:type="dxa"/>
            <w:left w:w="108" w:type="dxa"/>
            <w:bottom w:w="0" w:type="dxa"/>
            <w:right w:w="108" w:type="dxa"/>
          </w:tblCellMar>
        </w:tblPrEx>
        <w:trPr>
          <w:trHeight w:val="737" w:hRule="atLeast"/>
        </w:trPr>
        <w:tc>
          <w:tcPr>
            <w:tcW w:w="5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243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参赛县市满意度</w:t>
            </w:r>
          </w:p>
        </w:tc>
        <w:tc>
          <w:tcPr>
            <w:tcW w:w="12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≥90%</w:t>
            </w:r>
          </w:p>
        </w:tc>
      </w:tr>
    </w:tbl>
    <w:p>
      <w:pPr>
        <w:pStyle w:val="38"/>
        <w:jc w:val="both"/>
        <w:rPr>
          <w:color w:val="auto"/>
          <w:highlight w:val="none"/>
          <w:lang w:eastAsia="zh-CN"/>
        </w:rPr>
      </w:pPr>
    </w:p>
    <w:tbl>
      <w:tblPr>
        <w:tblStyle w:val="14"/>
        <w:tblW w:w="5000" w:type="pct"/>
        <w:tblInd w:w="0" w:type="dxa"/>
        <w:tblLayout w:type="autofit"/>
        <w:tblCellMar>
          <w:top w:w="0" w:type="dxa"/>
          <w:left w:w="108" w:type="dxa"/>
          <w:bottom w:w="0" w:type="dxa"/>
          <w:right w:w="108" w:type="dxa"/>
        </w:tblCellMar>
      </w:tblPr>
      <w:tblGrid>
        <w:gridCol w:w="991"/>
        <w:gridCol w:w="1571"/>
        <w:gridCol w:w="641"/>
        <w:gridCol w:w="929"/>
        <w:gridCol w:w="1781"/>
        <w:gridCol w:w="1081"/>
        <w:gridCol w:w="166"/>
        <w:gridCol w:w="898"/>
        <w:gridCol w:w="890"/>
      </w:tblGrid>
      <w:tr>
        <w:tblPrEx>
          <w:tblCellMar>
            <w:top w:w="0" w:type="dxa"/>
            <w:left w:w="108" w:type="dxa"/>
            <w:bottom w:w="0" w:type="dxa"/>
            <w:right w:w="108" w:type="dxa"/>
          </w:tblCellMar>
        </w:tblPrEx>
        <w:trPr>
          <w:trHeight w:val="435" w:hRule="atLeast"/>
        </w:trPr>
        <w:tc>
          <w:tcPr>
            <w:tcW w:w="5000" w:type="pct"/>
            <w:gridSpan w:val="9"/>
            <w:tcBorders>
              <w:top w:val="nil"/>
              <w:left w:val="nil"/>
              <w:bottom w:val="nil"/>
              <w:right w:val="nil"/>
            </w:tcBorders>
            <w:shd w:val="clear" w:color="auto" w:fill="auto"/>
            <w:vAlign w:val="center"/>
          </w:tcPr>
          <w:p>
            <w:pPr>
              <w:jc w:val="center"/>
              <w:textAlignment w:val="center"/>
              <w:rPr>
                <w:b/>
                <w:bCs/>
                <w:color w:val="auto"/>
                <w:sz w:val="34"/>
                <w:szCs w:val="34"/>
                <w:highlight w:val="none"/>
                <w:lang w:eastAsia="zh-CN"/>
              </w:rPr>
            </w:pPr>
            <w:r>
              <w:rPr>
                <w:rFonts w:hint="eastAsia" w:ascii="仿宋_GB2312" w:hAnsi="仿宋_GB2312" w:eastAsia="仿宋_GB2312" w:cs="仿宋_GB2312"/>
                <w:b/>
                <w:bCs/>
                <w:color w:val="auto"/>
                <w:sz w:val="32"/>
                <w:szCs w:val="32"/>
                <w:highlight w:val="none"/>
                <w:lang w:eastAsia="zh-CN"/>
              </w:rPr>
              <w:t>项 目 支 出 绩 效 目 标 表 ( 巴州 )</w:t>
            </w:r>
          </w:p>
        </w:tc>
      </w:tr>
      <w:tr>
        <w:tblPrEx>
          <w:tblCellMar>
            <w:top w:w="0" w:type="dxa"/>
            <w:left w:w="108" w:type="dxa"/>
            <w:bottom w:w="0" w:type="dxa"/>
            <w:right w:w="108" w:type="dxa"/>
          </w:tblCellMar>
        </w:tblPrEx>
        <w:trPr>
          <w:trHeight w:val="405" w:hRule="atLeast"/>
        </w:trPr>
        <w:tc>
          <w:tcPr>
            <w:tcW w:w="5000" w:type="pct"/>
            <w:gridSpan w:val="9"/>
            <w:tcBorders>
              <w:top w:val="nil"/>
              <w:left w:val="nil"/>
              <w:bottom w:val="nil"/>
              <w:right w:val="nil"/>
            </w:tcBorders>
            <w:shd w:val="clear" w:color="auto" w:fill="auto"/>
            <w:vAlign w:val="center"/>
          </w:tcPr>
          <w:p>
            <w:pPr>
              <w:jc w:val="center"/>
              <w:textAlignment w:val="center"/>
              <w:rPr>
                <w:b/>
                <w:bCs/>
                <w:color w:val="auto"/>
                <w:sz w:val="28"/>
                <w:szCs w:val="28"/>
                <w:highlight w:val="none"/>
              </w:rPr>
            </w:pPr>
            <w:r>
              <w:rPr>
                <w:rStyle w:val="25"/>
                <w:rFonts w:hint="eastAsia" w:ascii="仿宋_GB2312" w:hAnsi="仿宋_GB2312" w:eastAsia="仿宋_GB2312" w:cs="仿宋_GB2312"/>
                <w:b w:val="0"/>
                <w:bCs w:val="0"/>
                <w:color w:val="auto"/>
                <w:sz w:val="24"/>
                <w:szCs w:val="24"/>
                <w:highlight w:val="none"/>
                <w:lang w:eastAsia="zh-CN"/>
              </w:rPr>
              <w:t>(2024年)</w:t>
            </w:r>
          </w:p>
        </w:tc>
      </w:tr>
      <w:tr>
        <w:tblPrEx>
          <w:tblCellMar>
            <w:top w:w="0" w:type="dxa"/>
            <w:left w:w="108" w:type="dxa"/>
            <w:bottom w:w="0" w:type="dxa"/>
            <w:right w:w="108" w:type="dxa"/>
          </w:tblCellMar>
        </w:tblPrEx>
        <w:trPr>
          <w:trHeight w:val="595" w:hRule="atLeast"/>
        </w:trPr>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b/>
                <w:bCs/>
                <w:color w:val="auto"/>
                <w:sz w:val="20"/>
                <w:szCs w:val="20"/>
                <w:highlight w:val="none"/>
              </w:rPr>
            </w:pPr>
            <w:r>
              <w:rPr>
                <w:rStyle w:val="33"/>
                <w:rFonts w:hint="eastAsia" w:ascii="仿宋_GB2312" w:hAnsi="仿宋_GB2312" w:eastAsia="仿宋_GB2312" w:cs="仿宋_GB2312"/>
                <w:color w:val="auto"/>
                <w:sz w:val="20"/>
                <w:szCs w:val="20"/>
                <w:highlight w:val="none"/>
                <w:lang w:eastAsia="zh-CN"/>
              </w:rPr>
              <w:t>预算单位</w:t>
            </w:r>
          </w:p>
        </w:tc>
        <w:tc>
          <w:tcPr>
            <w:tcW w:w="275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新疆维吾尔自治区医疗保障局</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b/>
                <w:bCs/>
                <w:color w:val="auto"/>
                <w:sz w:val="20"/>
                <w:szCs w:val="20"/>
                <w:highlight w:val="none"/>
              </w:rPr>
            </w:pPr>
            <w:r>
              <w:rPr>
                <w:rStyle w:val="33"/>
                <w:rFonts w:hint="eastAsia" w:ascii="仿宋_GB2312" w:hAnsi="仿宋_GB2312" w:eastAsia="仿宋_GB2312" w:cs="仿宋_GB2312"/>
                <w:color w:val="auto"/>
                <w:sz w:val="20"/>
                <w:szCs w:val="20"/>
                <w:highlight w:val="none"/>
                <w:lang w:eastAsia="zh-CN"/>
              </w:rPr>
              <w:t>项目名称</w:t>
            </w:r>
          </w:p>
        </w:tc>
        <w:tc>
          <w:tcPr>
            <w:tcW w:w="109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医保能力提升经费</w:t>
            </w:r>
          </w:p>
        </w:tc>
      </w:tr>
      <w:tr>
        <w:tblPrEx>
          <w:tblCellMar>
            <w:top w:w="0" w:type="dxa"/>
            <w:left w:w="108" w:type="dxa"/>
            <w:bottom w:w="0" w:type="dxa"/>
            <w:right w:w="108" w:type="dxa"/>
          </w:tblCellMar>
        </w:tblPrEx>
        <w:trPr>
          <w:trHeight w:val="570" w:hRule="atLeast"/>
        </w:trPr>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b/>
                <w:bCs/>
                <w:color w:val="auto"/>
                <w:sz w:val="20"/>
                <w:szCs w:val="20"/>
                <w:highlight w:val="none"/>
              </w:rPr>
            </w:pPr>
            <w:r>
              <w:rPr>
                <w:rStyle w:val="33"/>
                <w:rFonts w:hint="eastAsia" w:ascii="仿宋_GB2312" w:hAnsi="仿宋_GB2312" w:eastAsia="仿宋_GB2312" w:cs="仿宋_GB2312"/>
                <w:color w:val="auto"/>
                <w:sz w:val="20"/>
                <w:szCs w:val="20"/>
                <w:highlight w:val="none"/>
                <w:lang w:eastAsia="zh-CN"/>
              </w:rPr>
              <w:t>项目资金</w:t>
            </w:r>
            <w:r>
              <w:rPr>
                <w:rStyle w:val="33"/>
                <w:rFonts w:hint="eastAsia" w:ascii="仿宋_GB2312" w:hAnsi="仿宋_GB2312" w:eastAsia="仿宋_GB2312" w:cs="仿宋_GB2312"/>
                <w:color w:val="auto"/>
                <w:sz w:val="20"/>
                <w:szCs w:val="20"/>
                <w:highlight w:val="none"/>
                <w:lang w:eastAsia="zh-CN"/>
              </w:rPr>
              <w:br w:type="textWrapping"/>
            </w:r>
            <w:r>
              <w:rPr>
                <w:rStyle w:val="33"/>
                <w:rFonts w:hint="eastAsia" w:ascii="仿宋_GB2312" w:hAnsi="仿宋_GB2312" w:eastAsia="仿宋_GB2312" w:cs="仿宋_GB2312"/>
                <w:color w:val="auto"/>
                <w:sz w:val="20"/>
                <w:szCs w:val="20"/>
                <w:highlight w:val="none"/>
                <w:lang w:eastAsia="zh-CN"/>
              </w:rPr>
              <w:t>(万元)</w:t>
            </w:r>
          </w:p>
        </w:tc>
        <w:tc>
          <w:tcPr>
            <w:tcW w:w="12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b/>
                <w:bCs/>
                <w:color w:val="auto"/>
                <w:sz w:val="20"/>
                <w:szCs w:val="20"/>
                <w:highlight w:val="none"/>
              </w:rPr>
            </w:pPr>
            <w:r>
              <w:rPr>
                <w:rStyle w:val="33"/>
                <w:rFonts w:hint="eastAsia" w:ascii="仿宋_GB2312" w:hAnsi="仿宋_GB2312" w:eastAsia="仿宋_GB2312" w:cs="仿宋_GB2312"/>
                <w:color w:val="auto"/>
                <w:sz w:val="20"/>
                <w:szCs w:val="20"/>
                <w:highlight w:val="none"/>
                <w:lang w:eastAsia="zh-CN"/>
              </w:rPr>
              <w:t>年度资金总额：</w:t>
            </w:r>
          </w:p>
        </w:tc>
        <w:tc>
          <w:tcPr>
            <w:tcW w:w="51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b/>
                <w:bCs/>
                <w:color w:val="auto"/>
                <w:sz w:val="20"/>
                <w:szCs w:val="20"/>
                <w:highlight w:val="none"/>
              </w:rPr>
            </w:pPr>
            <w:r>
              <w:rPr>
                <w:rFonts w:hint="eastAsia" w:ascii="仿宋_GB2312" w:eastAsia="仿宋_GB2312" w:cs="仿宋_GB2312"/>
                <w:color w:val="auto"/>
                <w:sz w:val="20"/>
                <w:szCs w:val="20"/>
                <w:highlight w:val="none"/>
                <w:lang w:eastAsia="zh-CN"/>
              </w:rPr>
              <w:t>104</w:t>
            </w:r>
          </w:p>
        </w:tc>
        <w:tc>
          <w:tcPr>
            <w:tcW w:w="9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b/>
                <w:bCs/>
                <w:color w:val="auto"/>
                <w:sz w:val="20"/>
                <w:szCs w:val="20"/>
                <w:highlight w:val="none"/>
              </w:rPr>
            </w:pPr>
            <w:r>
              <w:rPr>
                <w:rStyle w:val="33"/>
                <w:rFonts w:hint="eastAsia" w:ascii="仿宋_GB2312" w:hAnsi="仿宋_GB2312" w:eastAsia="仿宋_GB2312" w:cs="仿宋_GB2312"/>
                <w:color w:val="auto"/>
                <w:sz w:val="20"/>
                <w:szCs w:val="20"/>
                <w:highlight w:val="none"/>
                <w:lang w:eastAsia="zh-CN"/>
              </w:rPr>
              <w:t>其中：财政拨款</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104</w:t>
            </w:r>
          </w:p>
        </w:tc>
        <w:tc>
          <w:tcPr>
            <w:tcW w:w="5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b/>
                <w:bCs/>
                <w:color w:val="auto"/>
                <w:sz w:val="20"/>
                <w:szCs w:val="20"/>
                <w:highlight w:val="none"/>
              </w:rPr>
            </w:pPr>
            <w:r>
              <w:rPr>
                <w:rStyle w:val="33"/>
                <w:rFonts w:hint="eastAsia" w:ascii="仿宋_GB2312" w:hAnsi="仿宋_GB2312" w:eastAsia="仿宋_GB2312" w:cs="仿宋_GB2312"/>
                <w:color w:val="auto"/>
                <w:sz w:val="20"/>
                <w:szCs w:val="20"/>
                <w:highlight w:val="none"/>
                <w:lang w:eastAsia="zh-CN"/>
              </w:rPr>
              <w:t>其他资金</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0</w:t>
            </w:r>
          </w:p>
        </w:tc>
      </w:tr>
      <w:tr>
        <w:tblPrEx>
          <w:tblCellMar>
            <w:top w:w="0" w:type="dxa"/>
            <w:left w:w="108" w:type="dxa"/>
            <w:bottom w:w="0" w:type="dxa"/>
            <w:right w:w="108" w:type="dxa"/>
          </w:tblCellMar>
        </w:tblPrEx>
        <w:trPr>
          <w:trHeight w:val="2860" w:hRule="atLeast"/>
        </w:trPr>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ascii="仿宋_GB2312" w:hAnsi="仿宋_GB2312" w:eastAsia="仿宋_GB2312" w:cs="仿宋_GB2312"/>
                <w:b/>
                <w:bCs/>
                <w:color w:val="auto"/>
                <w:sz w:val="20"/>
                <w:szCs w:val="20"/>
                <w:highlight w:val="none"/>
              </w:rPr>
            </w:pPr>
            <w:r>
              <w:rPr>
                <w:rStyle w:val="33"/>
                <w:rFonts w:hint="eastAsia" w:ascii="仿宋_GB2312" w:hAnsi="仿宋_GB2312" w:eastAsia="仿宋_GB2312" w:cs="仿宋_GB2312"/>
                <w:color w:val="auto"/>
                <w:sz w:val="20"/>
                <w:szCs w:val="20"/>
                <w:highlight w:val="none"/>
                <w:lang w:eastAsia="zh-CN"/>
              </w:rPr>
              <w:t>项目总体目标</w:t>
            </w:r>
          </w:p>
        </w:tc>
        <w:tc>
          <w:tcPr>
            <w:tcW w:w="4445"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目标1:组织开展以“岗位练兵优服务，业务比武强规范”为主题的全地区医保经办系统练兵比武活动，通过练兵比武活动，为经办干部搭建补短板、强弱项、比技能的平台。</w:t>
            </w:r>
            <w:r>
              <w:rPr>
                <w:rFonts w:hint="eastAsia" w:ascii="仿宋_GB2312" w:hAnsi="仿宋_GB2312" w:eastAsia="仿宋_GB2312" w:cs="仿宋_GB2312"/>
                <w:color w:val="auto"/>
                <w:sz w:val="20"/>
                <w:szCs w:val="20"/>
                <w:highlight w:val="none"/>
                <w:lang w:eastAsia="zh-CN"/>
              </w:rPr>
              <w:br w:type="textWrapping"/>
            </w:r>
            <w:r>
              <w:rPr>
                <w:rFonts w:hint="eastAsia" w:ascii="仿宋_GB2312" w:hAnsi="仿宋_GB2312" w:eastAsia="仿宋_GB2312" w:cs="仿宋_GB2312"/>
                <w:color w:val="auto"/>
                <w:sz w:val="20"/>
                <w:szCs w:val="20"/>
                <w:highlight w:val="none"/>
                <w:lang w:eastAsia="zh-CN"/>
              </w:rPr>
              <w:t>目标2:常态化制度化落实药品耗材集中带量采购，推动医疗服务项目运行监测，建立长效医药集采落实情况、价格和供应监测机制，加强监测点建设，优先选择覆盖面大、信息化水平较好、反映区域内情况的单位作为监测点，逐步延伸至各级医疗机构、零售药店、配送企业，推动集中带量采购落实效果的监测能力提升，提高异常信息发现和处置能力。</w:t>
            </w:r>
            <w:r>
              <w:rPr>
                <w:rFonts w:hint="eastAsia" w:ascii="仿宋_GB2312" w:hAnsi="仿宋_GB2312" w:eastAsia="仿宋_GB2312" w:cs="仿宋_GB2312"/>
                <w:color w:val="auto"/>
                <w:sz w:val="20"/>
                <w:szCs w:val="20"/>
                <w:highlight w:val="none"/>
                <w:lang w:eastAsia="zh-CN"/>
              </w:rPr>
              <w:br w:type="textWrapping"/>
            </w:r>
            <w:r>
              <w:rPr>
                <w:rFonts w:hint="eastAsia" w:ascii="仿宋_GB2312" w:hAnsi="仿宋_GB2312" w:eastAsia="仿宋_GB2312" w:cs="仿宋_GB2312"/>
                <w:color w:val="auto"/>
                <w:sz w:val="20"/>
                <w:szCs w:val="20"/>
                <w:highlight w:val="none"/>
                <w:lang w:eastAsia="zh-CN"/>
              </w:rPr>
              <w:t>目标3:加强医疗保障基金使用常态化监管，建立健全监督检查、智能监控、举报奖励、信用管理、综合监管、社会监督长效机制，多措并举织密基金监管网，进一步提升基金监管法制化、专业化、信息化水平，提升监管效能，有效维护医保基金安全；进一步压紧压实基金监管责任，强化医保行政监管责任、经办日常审核检查责任，推动落实定点医药机构医保基金使用主体责任、地方政府属地监管责任。</w:t>
            </w:r>
          </w:p>
        </w:tc>
      </w:tr>
      <w:tr>
        <w:tblPrEx>
          <w:tblCellMar>
            <w:top w:w="0" w:type="dxa"/>
            <w:left w:w="108" w:type="dxa"/>
            <w:bottom w:w="0" w:type="dxa"/>
            <w:right w:w="108" w:type="dxa"/>
          </w:tblCellMar>
        </w:tblPrEx>
        <w:trPr>
          <w:trHeight w:val="510" w:hRule="atLeast"/>
        </w:trPr>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b/>
                <w:bCs/>
                <w:color w:val="auto"/>
                <w:sz w:val="20"/>
                <w:szCs w:val="20"/>
                <w:highlight w:val="none"/>
              </w:rPr>
            </w:pPr>
            <w:r>
              <w:rPr>
                <w:rStyle w:val="33"/>
                <w:rFonts w:hint="eastAsia" w:ascii="仿宋_GB2312" w:hAnsi="仿宋_GB2312" w:eastAsia="仿宋_GB2312" w:cs="仿宋_GB2312"/>
                <w:color w:val="auto"/>
                <w:sz w:val="20"/>
                <w:szCs w:val="20"/>
                <w:highlight w:val="none"/>
                <w:lang w:eastAsia="zh-CN"/>
              </w:rPr>
              <w:t>一级指标</w:t>
            </w:r>
          </w:p>
        </w:tc>
        <w:tc>
          <w:tcPr>
            <w:tcW w:w="8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b/>
                <w:bCs/>
                <w:color w:val="auto"/>
                <w:sz w:val="20"/>
                <w:szCs w:val="20"/>
                <w:highlight w:val="none"/>
              </w:rPr>
            </w:pPr>
            <w:r>
              <w:rPr>
                <w:rStyle w:val="33"/>
                <w:rFonts w:hint="eastAsia" w:ascii="仿宋_GB2312" w:hAnsi="仿宋_GB2312" w:eastAsia="仿宋_GB2312" w:cs="仿宋_GB2312"/>
                <w:color w:val="auto"/>
                <w:sz w:val="20"/>
                <w:szCs w:val="20"/>
                <w:highlight w:val="none"/>
                <w:lang w:eastAsia="zh-CN"/>
              </w:rPr>
              <w:t>二级指标</w:t>
            </w:r>
          </w:p>
        </w:tc>
        <w:tc>
          <w:tcPr>
            <w:tcW w:w="25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b/>
                <w:bCs/>
                <w:color w:val="auto"/>
                <w:sz w:val="20"/>
                <w:szCs w:val="20"/>
                <w:highlight w:val="none"/>
              </w:rPr>
            </w:pPr>
            <w:r>
              <w:rPr>
                <w:rStyle w:val="33"/>
                <w:rFonts w:hint="eastAsia" w:ascii="仿宋_GB2312" w:hAnsi="仿宋_GB2312" w:eastAsia="仿宋_GB2312" w:cs="仿宋_GB2312"/>
                <w:color w:val="auto"/>
                <w:sz w:val="20"/>
                <w:szCs w:val="20"/>
                <w:highlight w:val="none"/>
                <w:lang w:eastAsia="zh-CN"/>
              </w:rPr>
              <w:t>三级指标</w:t>
            </w:r>
          </w:p>
        </w:tc>
        <w:tc>
          <w:tcPr>
            <w:tcW w:w="9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b/>
                <w:bCs/>
                <w:color w:val="auto"/>
                <w:sz w:val="20"/>
                <w:szCs w:val="20"/>
                <w:highlight w:val="none"/>
                <w:lang w:eastAsia="zh-CN"/>
              </w:rPr>
            </w:pPr>
            <w:r>
              <w:rPr>
                <w:rStyle w:val="33"/>
                <w:rFonts w:hint="eastAsia" w:ascii="仿宋_GB2312" w:hAnsi="仿宋_GB2312" w:eastAsia="仿宋_GB2312" w:cs="仿宋_GB2312"/>
                <w:color w:val="auto"/>
                <w:sz w:val="20"/>
                <w:szCs w:val="20"/>
                <w:highlight w:val="none"/>
                <w:lang w:eastAsia="zh-CN"/>
              </w:rPr>
              <w:t>指标值(包含数字及文字描述)</w:t>
            </w:r>
          </w:p>
        </w:tc>
      </w:tr>
      <w:tr>
        <w:tblPrEx>
          <w:tblCellMar>
            <w:top w:w="0" w:type="dxa"/>
            <w:left w:w="108" w:type="dxa"/>
            <w:bottom w:w="0" w:type="dxa"/>
            <w:right w:w="108" w:type="dxa"/>
          </w:tblCellMar>
        </w:tblPrEx>
        <w:trPr>
          <w:trHeight w:val="550" w:hRule="atLeast"/>
        </w:trPr>
        <w:tc>
          <w:tcPr>
            <w:tcW w:w="5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产出指标</w:t>
            </w:r>
          </w:p>
        </w:tc>
        <w:tc>
          <w:tcPr>
            <w:tcW w:w="8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数量指标</w:t>
            </w:r>
          </w:p>
        </w:tc>
        <w:tc>
          <w:tcPr>
            <w:tcW w:w="25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租赁演播厅场地数量</w:t>
            </w:r>
          </w:p>
        </w:tc>
        <w:tc>
          <w:tcPr>
            <w:tcW w:w="9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≥1个</w:t>
            </w:r>
          </w:p>
        </w:tc>
      </w:tr>
      <w:tr>
        <w:tblPrEx>
          <w:tblCellMar>
            <w:top w:w="0" w:type="dxa"/>
            <w:left w:w="108" w:type="dxa"/>
            <w:bottom w:w="0" w:type="dxa"/>
            <w:right w:w="108" w:type="dxa"/>
          </w:tblCellMar>
        </w:tblPrEx>
        <w:trPr>
          <w:trHeight w:val="570" w:hRule="atLeast"/>
        </w:trPr>
        <w:tc>
          <w:tcPr>
            <w:tcW w:w="5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8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数量指标</w:t>
            </w:r>
          </w:p>
        </w:tc>
        <w:tc>
          <w:tcPr>
            <w:tcW w:w="25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练兵比武参赛县市数量</w:t>
            </w:r>
          </w:p>
        </w:tc>
        <w:tc>
          <w:tcPr>
            <w:tcW w:w="9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≥9个</w:t>
            </w:r>
          </w:p>
        </w:tc>
      </w:tr>
      <w:tr>
        <w:tblPrEx>
          <w:tblCellMar>
            <w:top w:w="0" w:type="dxa"/>
            <w:left w:w="108" w:type="dxa"/>
            <w:bottom w:w="0" w:type="dxa"/>
            <w:right w:w="108" w:type="dxa"/>
          </w:tblCellMar>
        </w:tblPrEx>
        <w:trPr>
          <w:trHeight w:val="570" w:hRule="atLeast"/>
        </w:trPr>
        <w:tc>
          <w:tcPr>
            <w:tcW w:w="5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8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数量指标</w:t>
            </w:r>
          </w:p>
        </w:tc>
        <w:tc>
          <w:tcPr>
            <w:tcW w:w="2569" w:type="pct"/>
            <w:gridSpan w:val="5"/>
            <w:tcBorders>
              <w:top w:val="single" w:color="000000" w:sz="4" w:space="0"/>
              <w:left w:val="single" w:color="000000" w:sz="4" w:space="0"/>
              <w:bottom w:val="single" w:color="000000" w:sz="4" w:space="0"/>
              <w:right w:val="single" w:color="000000" w:sz="4" w:space="0"/>
            </w:tcBorders>
            <w:shd w:val="clear" w:color="auto" w:fill="auto"/>
          </w:tcPr>
          <w:p>
            <w:pPr>
              <w:jc w:val="center"/>
              <w:textAlignment w:val="top"/>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召开医药价格工作政策吹风会、宣传活动、调研指导次数</w:t>
            </w:r>
          </w:p>
        </w:tc>
        <w:tc>
          <w:tcPr>
            <w:tcW w:w="9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≥2次</w:t>
            </w:r>
          </w:p>
        </w:tc>
      </w:tr>
      <w:tr>
        <w:tblPrEx>
          <w:tblCellMar>
            <w:top w:w="0" w:type="dxa"/>
            <w:left w:w="108" w:type="dxa"/>
            <w:bottom w:w="0" w:type="dxa"/>
            <w:right w:w="108" w:type="dxa"/>
          </w:tblCellMar>
        </w:tblPrEx>
        <w:trPr>
          <w:trHeight w:val="560" w:hRule="atLeast"/>
        </w:trPr>
        <w:tc>
          <w:tcPr>
            <w:tcW w:w="5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8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数量指标</w:t>
            </w:r>
          </w:p>
        </w:tc>
        <w:tc>
          <w:tcPr>
            <w:tcW w:w="25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召开医药价格工作会议或培训</w:t>
            </w:r>
          </w:p>
        </w:tc>
        <w:tc>
          <w:tcPr>
            <w:tcW w:w="9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≥2次</w:t>
            </w:r>
          </w:p>
        </w:tc>
      </w:tr>
      <w:tr>
        <w:tblPrEx>
          <w:tblCellMar>
            <w:top w:w="0" w:type="dxa"/>
            <w:left w:w="108" w:type="dxa"/>
            <w:bottom w:w="0" w:type="dxa"/>
            <w:right w:w="108" w:type="dxa"/>
          </w:tblCellMar>
        </w:tblPrEx>
        <w:trPr>
          <w:trHeight w:val="570" w:hRule="atLeast"/>
        </w:trPr>
        <w:tc>
          <w:tcPr>
            <w:tcW w:w="5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8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数量指标</w:t>
            </w:r>
          </w:p>
        </w:tc>
        <w:tc>
          <w:tcPr>
            <w:tcW w:w="25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定点医疗机构现场检查覆盖率</w:t>
            </w:r>
          </w:p>
        </w:tc>
        <w:tc>
          <w:tcPr>
            <w:tcW w:w="9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570" w:hRule="atLeast"/>
        </w:trPr>
        <w:tc>
          <w:tcPr>
            <w:tcW w:w="5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8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数量指标</w:t>
            </w:r>
          </w:p>
        </w:tc>
        <w:tc>
          <w:tcPr>
            <w:tcW w:w="25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定点零售药店现场检查覆盖率</w:t>
            </w:r>
          </w:p>
        </w:tc>
        <w:tc>
          <w:tcPr>
            <w:tcW w:w="9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570" w:hRule="atLeast"/>
        </w:trPr>
        <w:tc>
          <w:tcPr>
            <w:tcW w:w="5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8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数量指标</w:t>
            </w:r>
          </w:p>
        </w:tc>
        <w:tc>
          <w:tcPr>
            <w:tcW w:w="25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定点零售药店的抽查数量</w:t>
            </w:r>
          </w:p>
        </w:tc>
        <w:tc>
          <w:tcPr>
            <w:tcW w:w="9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≥2家</w:t>
            </w:r>
          </w:p>
        </w:tc>
      </w:tr>
      <w:tr>
        <w:tblPrEx>
          <w:tblCellMar>
            <w:top w:w="0" w:type="dxa"/>
            <w:left w:w="108" w:type="dxa"/>
            <w:bottom w:w="0" w:type="dxa"/>
            <w:right w:w="108" w:type="dxa"/>
          </w:tblCellMar>
        </w:tblPrEx>
        <w:trPr>
          <w:trHeight w:val="570" w:hRule="atLeast"/>
        </w:trPr>
        <w:tc>
          <w:tcPr>
            <w:tcW w:w="5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8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数量指标</w:t>
            </w:r>
          </w:p>
        </w:tc>
        <w:tc>
          <w:tcPr>
            <w:tcW w:w="25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对辖区内经办机构的抽查数量</w:t>
            </w:r>
          </w:p>
        </w:tc>
        <w:tc>
          <w:tcPr>
            <w:tcW w:w="9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≥30%</w:t>
            </w:r>
          </w:p>
        </w:tc>
      </w:tr>
      <w:tr>
        <w:tblPrEx>
          <w:tblCellMar>
            <w:top w:w="0" w:type="dxa"/>
            <w:left w:w="108" w:type="dxa"/>
            <w:bottom w:w="0" w:type="dxa"/>
            <w:right w:w="108" w:type="dxa"/>
          </w:tblCellMar>
        </w:tblPrEx>
        <w:trPr>
          <w:trHeight w:val="570" w:hRule="atLeast"/>
        </w:trPr>
        <w:tc>
          <w:tcPr>
            <w:tcW w:w="5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8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质量指标</w:t>
            </w:r>
          </w:p>
        </w:tc>
        <w:tc>
          <w:tcPr>
            <w:tcW w:w="25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购买医药价格监测硬件设施并配备至监测点</w:t>
            </w:r>
          </w:p>
        </w:tc>
        <w:tc>
          <w:tcPr>
            <w:tcW w:w="9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570" w:hRule="atLeast"/>
        </w:trPr>
        <w:tc>
          <w:tcPr>
            <w:tcW w:w="5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8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成本指标</w:t>
            </w:r>
          </w:p>
        </w:tc>
        <w:tc>
          <w:tcPr>
            <w:tcW w:w="25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医保能力提升经费</w:t>
            </w:r>
          </w:p>
        </w:tc>
        <w:tc>
          <w:tcPr>
            <w:tcW w:w="9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≤50万元</w:t>
            </w:r>
          </w:p>
        </w:tc>
      </w:tr>
      <w:tr>
        <w:tblPrEx>
          <w:tblCellMar>
            <w:top w:w="0" w:type="dxa"/>
            <w:left w:w="108" w:type="dxa"/>
            <w:bottom w:w="0" w:type="dxa"/>
            <w:right w:w="108" w:type="dxa"/>
          </w:tblCellMar>
        </w:tblPrEx>
        <w:trPr>
          <w:trHeight w:val="570" w:hRule="atLeast"/>
        </w:trPr>
        <w:tc>
          <w:tcPr>
            <w:tcW w:w="5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效益指标</w:t>
            </w:r>
          </w:p>
        </w:tc>
        <w:tc>
          <w:tcPr>
            <w:tcW w:w="8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社会效益指标</w:t>
            </w:r>
          </w:p>
        </w:tc>
        <w:tc>
          <w:tcPr>
            <w:tcW w:w="25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提升全州经办队伍能力，提高经办服务水平</w:t>
            </w:r>
          </w:p>
        </w:tc>
        <w:tc>
          <w:tcPr>
            <w:tcW w:w="9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有效提升</w:t>
            </w:r>
          </w:p>
        </w:tc>
      </w:tr>
      <w:tr>
        <w:tblPrEx>
          <w:tblCellMar>
            <w:top w:w="0" w:type="dxa"/>
            <w:left w:w="108" w:type="dxa"/>
            <w:bottom w:w="0" w:type="dxa"/>
            <w:right w:w="108" w:type="dxa"/>
          </w:tblCellMar>
        </w:tblPrEx>
        <w:trPr>
          <w:trHeight w:val="570" w:hRule="atLeast"/>
        </w:trPr>
        <w:tc>
          <w:tcPr>
            <w:tcW w:w="5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8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可持续影响指标</w:t>
            </w:r>
          </w:p>
        </w:tc>
        <w:tc>
          <w:tcPr>
            <w:tcW w:w="25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区域联盟议价采购药品、医用耗材执行期</w:t>
            </w:r>
          </w:p>
        </w:tc>
        <w:tc>
          <w:tcPr>
            <w:tcW w:w="9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≥2年</w:t>
            </w:r>
          </w:p>
        </w:tc>
      </w:tr>
      <w:tr>
        <w:tblPrEx>
          <w:tblCellMar>
            <w:top w:w="0" w:type="dxa"/>
            <w:left w:w="108" w:type="dxa"/>
            <w:bottom w:w="0" w:type="dxa"/>
            <w:right w:w="108" w:type="dxa"/>
          </w:tblCellMar>
        </w:tblPrEx>
        <w:trPr>
          <w:trHeight w:val="570" w:hRule="atLeast"/>
        </w:trPr>
        <w:tc>
          <w:tcPr>
            <w:tcW w:w="5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满意度指标</w:t>
            </w:r>
          </w:p>
        </w:tc>
        <w:tc>
          <w:tcPr>
            <w:tcW w:w="8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满意度指标</w:t>
            </w:r>
          </w:p>
        </w:tc>
        <w:tc>
          <w:tcPr>
            <w:tcW w:w="25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经办机构满意度</w:t>
            </w:r>
          </w:p>
        </w:tc>
        <w:tc>
          <w:tcPr>
            <w:tcW w:w="9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≥90%</w:t>
            </w:r>
          </w:p>
        </w:tc>
      </w:tr>
      <w:tr>
        <w:tblPrEx>
          <w:tblCellMar>
            <w:top w:w="0" w:type="dxa"/>
            <w:left w:w="108" w:type="dxa"/>
            <w:bottom w:w="0" w:type="dxa"/>
            <w:right w:w="108" w:type="dxa"/>
          </w:tblCellMar>
        </w:tblPrEx>
        <w:trPr>
          <w:trHeight w:val="575" w:hRule="atLeast"/>
        </w:trPr>
        <w:tc>
          <w:tcPr>
            <w:tcW w:w="5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color w:val="auto"/>
                <w:sz w:val="20"/>
                <w:szCs w:val="20"/>
                <w:highlight w:val="none"/>
              </w:rPr>
            </w:pPr>
          </w:p>
        </w:tc>
        <w:tc>
          <w:tcPr>
            <w:tcW w:w="8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满意度指标</w:t>
            </w:r>
          </w:p>
        </w:tc>
        <w:tc>
          <w:tcPr>
            <w:tcW w:w="256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参赛县市满意度</w:t>
            </w:r>
          </w:p>
        </w:tc>
        <w:tc>
          <w:tcPr>
            <w:tcW w:w="99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≥90%</w:t>
            </w:r>
          </w:p>
        </w:tc>
      </w:tr>
    </w:tbl>
    <w:p>
      <w:pPr>
        <w:pStyle w:val="38"/>
        <w:jc w:val="both"/>
        <w:rPr>
          <w:color w:val="auto"/>
          <w:highlight w:val="none"/>
          <w:lang w:eastAsia="zh-CN"/>
        </w:rPr>
      </w:pPr>
    </w:p>
    <w:p>
      <w:pPr>
        <w:pStyle w:val="38"/>
        <w:jc w:val="both"/>
        <w:rPr>
          <w:color w:val="auto"/>
          <w:highlight w:val="none"/>
          <w:lang w:eastAsia="zh-CN"/>
        </w:rPr>
      </w:pPr>
    </w:p>
    <w:tbl>
      <w:tblPr>
        <w:tblStyle w:val="14"/>
        <w:tblW w:w="5000" w:type="pct"/>
        <w:tblInd w:w="0" w:type="dxa"/>
        <w:tblLayout w:type="autofit"/>
        <w:tblCellMar>
          <w:top w:w="0" w:type="dxa"/>
          <w:left w:w="108" w:type="dxa"/>
          <w:bottom w:w="0" w:type="dxa"/>
          <w:right w:w="108" w:type="dxa"/>
        </w:tblCellMar>
      </w:tblPr>
      <w:tblGrid>
        <w:gridCol w:w="1063"/>
        <w:gridCol w:w="1532"/>
        <w:gridCol w:w="548"/>
        <w:gridCol w:w="848"/>
        <w:gridCol w:w="1586"/>
        <w:gridCol w:w="1204"/>
        <w:gridCol w:w="1025"/>
        <w:gridCol w:w="1142"/>
      </w:tblGrid>
      <w:tr>
        <w:tblPrEx>
          <w:tblCellMar>
            <w:top w:w="0" w:type="dxa"/>
            <w:left w:w="108" w:type="dxa"/>
            <w:bottom w:w="0" w:type="dxa"/>
            <w:right w:w="108" w:type="dxa"/>
          </w:tblCellMar>
        </w:tblPrEx>
        <w:trPr>
          <w:trHeight w:val="495" w:hRule="atLeast"/>
        </w:trPr>
        <w:tc>
          <w:tcPr>
            <w:tcW w:w="5000" w:type="pct"/>
            <w:gridSpan w:val="8"/>
            <w:tcBorders>
              <w:top w:val="nil"/>
              <w:left w:val="nil"/>
              <w:bottom w:val="nil"/>
              <w:right w:val="nil"/>
            </w:tcBorders>
            <w:shd w:val="clear" w:color="auto" w:fill="auto"/>
            <w:vAlign w:val="center"/>
          </w:tcPr>
          <w:p>
            <w:pPr>
              <w:jc w:val="center"/>
              <w:textAlignment w:val="center"/>
              <w:rPr>
                <w:rFonts w:ascii="宋体" w:hAnsi="宋体" w:eastAsia="宋体" w:cs="宋体"/>
                <w:b/>
                <w:bCs/>
                <w:color w:val="auto"/>
                <w:sz w:val="34"/>
                <w:szCs w:val="34"/>
                <w:highlight w:val="none"/>
                <w:lang w:eastAsia="zh-CN"/>
              </w:rPr>
            </w:pPr>
            <w:r>
              <w:rPr>
                <w:rFonts w:hint="eastAsia" w:ascii="仿宋_GB2312" w:hAnsi="仿宋_GB2312" w:eastAsia="仿宋_GB2312" w:cs="仿宋_GB2312"/>
                <w:b/>
                <w:bCs/>
                <w:color w:val="auto"/>
                <w:sz w:val="32"/>
                <w:szCs w:val="32"/>
                <w:highlight w:val="none"/>
                <w:lang w:eastAsia="zh-CN"/>
              </w:rPr>
              <w:t>项 目 支 出 绩 效 目 标 表(阿克苏地区)</w:t>
            </w:r>
          </w:p>
        </w:tc>
      </w:tr>
      <w:tr>
        <w:tblPrEx>
          <w:tblCellMar>
            <w:top w:w="0" w:type="dxa"/>
            <w:left w:w="108" w:type="dxa"/>
            <w:bottom w:w="0" w:type="dxa"/>
            <w:right w:w="108" w:type="dxa"/>
          </w:tblCellMar>
        </w:tblPrEx>
        <w:trPr>
          <w:trHeight w:val="420" w:hRule="atLeast"/>
        </w:trPr>
        <w:tc>
          <w:tcPr>
            <w:tcW w:w="5000" w:type="pct"/>
            <w:gridSpan w:val="8"/>
            <w:tcBorders>
              <w:top w:val="nil"/>
              <w:left w:val="nil"/>
              <w:bottom w:val="nil"/>
              <w:right w:val="nil"/>
            </w:tcBorders>
            <w:shd w:val="clear" w:color="auto" w:fill="auto"/>
            <w:noWrap/>
            <w:vAlign w:val="bottom"/>
          </w:tcPr>
          <w:p>
            <w:pPr>
              <w:jc w:val="center"/>
              <w:textAlignment w:val="center"/>
              <w:rPr>
                <w:rFonts w:ascii="宋体" w:hAnsi="宋体" w:eastAsia="宋体" w:cs="宋体"/>
                <w:b/>
                <w:bCs/>
                <w:color w:val="auto"/>
                <w:sz w:val="32"/>
                <w:szCs w:val="32"/>
                <w:highlight w:val="none"/>
              </w:rPr>
            </w:pPr>
            <w:r>
              <w:rPr>
                <w:rStyle w:val="25"/>
                <w:rFonts w:hint="eastAsia" w:ascii="仿宋_GB2312" w:hAnsi="仿宋_GB2312" w:eastAsia="仿宋_GB2312" w:cs="仿宋_GB2312"/>
                <w:b w:val="0"/>
                <w:bCs w:val="0"/>
                <w:color w:val="auto"/>
                <w:sz w:val="24"/>
                <w:szCs w:val="24"/>
                <w:highlight w:val="none"/>
                <w:lang w:eastAsia="zh-CN"/>
              </w:rPr>
              <w:t>(2024年)</w:t>
            </w:r>
          </w:p>
        </w:tc>
      </w:tr>
      <w:tr>
        <w:tblPrEx>
          <w:tblCellMar>
            <w:top w:w="0" w:type="dxa"/>
            <w:left w:w="108" w:type="dxa"/>
            <w:bottom w:w="0" w:type="dxa"/>
            <w:right w:w="108" w:type="dxa"/>
          </w:tblCellMar>
        </w:tblPrEx>
        <w:trPr>
          <w:trHeight w:val="605" w:hRule="atLeast"/>
        </w:trPr>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预算单位</w:t>
            </w:r>
          </w:p>
        </w:tc>
        <w:tc>
          <w:tcPr>
            <w:tcW w:w="252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新疆维吾尔自治区医疗保障局</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项目名称</w:t>
            </w:r>
          </w:p>
        </w:tc>
        <w:tc>
          <w:tcPr>
            <w:tcW w:w="12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医保能力提升经费</w:t>
            </w:r>
          </w:p>
        </w:tc>
      </w:tr>
      <w:tr>
        <w:tblPrEx>
          <w:tblCellMar>
            <w:top w:w="0" w:type="dxa"/>
            <w:left w:w="108" w:type="dxa"/>
            <w:bottom w:w="0" w:type="dxa"/>
            <w:right w:w="108" w:type="dxa"/>
          </w:tblCellMar>
        </w:tblPrEx>
        <w:trPr>
          <w:trHeight w:val="680" w:hRule="atLeast"/>
        </w:trPr>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项目资金</w:t>
            </w:r>
            <w:r>
              <w:rPr>
                <w:rFonts w:hint="eastAsia" w:ascii="仿宋_GB2312" w:eastAsia="仿宋_GB2312" w:cs="仿宋_GB2312"/>
                <w:b/>
                <w:bCs/>
                <w:color w:val="auto"/>
                <w:sz w:val="20"/>
                <w:szCs w:val="20"/>
                <w:highlight w:val="none"/>
                <w:lang w:eastAsia="zh-CN"/>
              </w:rPr>
              <w:br w:type="textWrapping"/>
            </w:r>
            <w:r>
              <w:rPr>
                <w:rFonts w:hint="eastAsia" w:ascii="仿宋_GB2312" w:eastAsia="仿宋_GB2312" w:cs="仿宋_GB2312"/>
                <w:b/>
                <w:bCs/>
                <w:color w:val="auto"/>
                <w:sz w:val="20"/>
                <w:szCs w:val="20"/>
                <w:highlight w:val="none"/>
                <w:lang w:eastAsia="zh-CN"/>
              </w:rPr>
              <w:t>(万元)</w:t>
            </w:r>
          </w:p>
        </w:tc>
        <w:tc>
          <w:tcPr>
            <w:tcW w:w="11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年度资金总额：</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126.1</w:t>
            </w:r>
          </w:p>
        </w:tc>
        <w:tc>
          <w:tcPr>
            <w:tcW w:w="8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其中：财政拨款</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126.1</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其他资金</w:t>
            </w: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0</w:t>
            </w:r>
          </w:p>
        </w:tc>
      </w:tr>
      <w:tr>
        <w:tblPrEx>
          <w:tblCellMar>
            <w:top w:w="0" w:type="dxa"/>
            <w:left w:w="108" w:type="dxa"/>
            <w:bottom w:w="0" w:type="dxa"/>
            <w:right w:w="108" w:type="dxa"/>
          </w:tblCellMar>
        </w:tblPrEx>
        <w:trPr>
          <w:trHeight w:val="2640" w:hRule="atLeast"/>
        </w:trPr>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项目总体目标</w:t>
            </w:r>
          </w:p>
        </w:tc>
        <w:tc>
          <w:tcPr>
            <w:tcW w:w="4405"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目标1:组织开展以“岗位练兵优服务，业务比武强规范”为主题的全地区医保经办系统练兵比武活动，通过练兵比武活动，为经办干部搭建补短板、强弱项、比技能的平台。</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2:常态化制度化落实药品耗材集中带量采购，推动医疗服务项目运行监测，建立长效医药集采落实情况、价格和供应监测机制，加强监测点建设，优先选择覆盖面大、信息化水平较好、反映区域内情况的单位作为监测点，逐步延伸至各级医疗机构、零售药店、配送企业，推动集中带量采购落实效果的监测能力提升，提高异常信息发现和处置能力。</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3:加强医疗保障基金使用常态化监管，建立健全监督检查、智能监控、举报奖励、信用管理、综合监管、社会监督长效机制，多措并举织密基金监管网，进一步提升基金监管法制化、专业化、信息化水平，提升监管效能，有效维护医保基金安全；进一步压紧压实基金监管责任，强化医保行政监管责任、经办日常审核检查责任，推动落实定点医药机构医保基金使用主体责任、地方政府属地监管责任。</w:t>
            </w:r>
          </w:p>
        </w:tc>
      </w:tr>
      <w:tr>
        <w:tblPrEx>
          <w:tblCellMar>
            <w:top w:w="0" w:type="dxa"/>
            <w:left w:w="108" w:type="dxa"/>
            <w:bottom w:w="0" w:type="dxa"/>
            <w:right w:w="108" w:type="dxa"/>
          </w:tblCellMar>
        </w:tblPrEx>
        <w:trPr>
          <w:trHeight w:val="580" w:hRule="atLeast"/>
        </w:trPr>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一级指标</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二级指标</w:t>
            </w:r>
          </w:p>
        </w:tc>
        <w:tc>
          <w:tcPr>
            <w:tcW w:w="233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三级指标</w:t>
            </w:r>
          </w:p>
        </w:tc>
        <w:tc>
          <w:tcPr>
            <w:tcW w:w="1209" w:type="pct"/>
            <w:gridSpan w:val="2"/>
            <w:tcBorders>
              <w:top w:val="single" w:color="000000" w:sz="4" w:space="0"/>
              <w:left w:val="single" w:color="000000" w:sz="4" w:space="0"/>
              <w:bottom w:val="single" w:color="000000" w:sz="4" w:space="0"/>
              <w:right w:val="single" w:color="000000" w:sz="4" w:space="0"/>
            </w:tcBorders>
            <w:shd w:val="clear" w:color="auto" w:fill="auto"/>
          </w:tcPr>
          <w:p>
            <w:pPr>
              <w:jc w:val="center"/>
              <w:textAlignment w:val="top"/>
              <w:rPr>
                <w:rFonts w:ascii="仿宋_GB2312" w:eastAsia="仿宋_GB2312" w:cs="仿宋_GB2312"/>
                <w:b/>
                <w:bCs/>
                <w:color w:val="auto"/>
                <w:sz w:val="20"/>
                <w:szCs w:val="20"/>
                <w:highlight w:val="none"/>
                <w:lang w:eastAsia="zh-CN"/>
              </w:rPr>
            </w:pPr>
            <w:r>
              <w:rPr>
                <w:rFonts w:hint="eastAsia" w:ascii="仿宋_GB2312" w:eastAsia="仿宋_GB2312" w:cs="仿宋_GB2312"/>
                <w:b/>
                <w:bCs/>
                <w:color w:val="auto"/>
                <w:sz w:val="20"/>
                <w:szCs w:val="20"/>
                <w:highlight w:val="none"/>
                <w:lang w:eastAsia="zh-CN"/>
              </w:rPr>
              <w:t>指标值(包含数字及</w:t>
            </w:r>
            <w:r>
              <w:rPr>
                <w:rFonts w:hint="eastAsia" w:ascii="仿宋_GB2312" w:eastAsia="仿宋_GB2312" w:cs="仿宋_GB2312"/>
                <w:b/>
                <w:bCs/>
                <w:color w:val="auto"/>
                <w:sz w:val="20"/>
                <w:szCs w:val="20"/>
                <w:highlight w:val="none"/>
                <w:lang w:eastAsia="zh-CN"/>
              </w:rPr>
              <w:br w:type="textWrapping"/>
            </w:r>
            <w:r>
              <w:rPr>
                <w:rFonts w:hint="eastAsia" w:ascii="仿宋_GB2312" w:eastAsia="仿宋_GB2312" w:cs="仿宋_GB2312"/>
                <w:b/>
                <w:bCs/>
                <w:color w:val="auto"/>
                <w:sz w:val="20"/>
                <w:szCs w:val="20"/>
                <w:highlight w:val="none"/>
                <w:lang w:eastAsia="zh-CN"/>
              </w:rPr>
              <w:t>文字描述)</w:t>
            </w:r>
          </w:p>
        </w:tc>
      </w:tr>
      <w:tr>
        <w:tblPrEx>
          <w:tblCellMar>
            <w:top w:w="0" w:type="dxa"/>
            <w:left w:w="108" w:type="dxa"/>
            <w:bottom w:w="0" w:type="dxa"/>
            <w:right w:w="108" w:type="dxa"/>
          </w:tblCellMar>
        </w:tblPrEx>
        <w:trPr>
          <w:trHeight w:val="630" w:hRule="atLeast"/>
        </w:trPr>
        <w:tc>
          <w:tcPr>
            <w:tcW w:w="5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产出指标</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33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参赛县市数量</w:t>
            </w:r>
          </w:p>
        </w:tc>
        <w:tc>
          <w:tcPr>
            <w:tcW w:w="12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≥9个</w:t>
            </w:r>
          </w:p>
        </w:tc>
      </w:tr>
      <w:tr>
        <w:tblPrEx>
          <w:tblCellMar>
            <w:top w:w="0" w:type="dxa"/>
            <w:left w:w="108" w:type="dxa"/>
            <w:bottom w:w="0" w:type="dxa"/>
            <w:right w:w="108" w:type="dxa"/>
          </w:tblCellMar>
        </w:tblPrEx>
        <w:trPr>
          <w:trHeight w:val="630" w:hRule="atLeast"/>
        </w:trPr>
        <w:tc>
          <w:tcPr>
            <w:tcW w:w="5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33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召开医药价格工作会议或培训</w:t>
            </w:r>
          </w:p>
        </w:tc>
        <w:tc>
          <w:tcPr>
            <w:tcW w:w="12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≥2次</w:t>
            </w:r>
          </w:p>
        </w:tc>
      </w:tr>
      <w:tr>
        <w:tblPrEx>
          <w:tblCellMar>
            <w:top w:w="0" w:type="dxa"/>
            <w:left w:w="108" w:type="dxa"/>
            <w:bottom w:w="0" w:type="dxa"/>
            <w:right w:w="108" w:type="dxa"/>
          </w:tblCellMar>
        </w:tblPrEx>
        <w:trPr>
          <w:trHeight w:val="640" w:hRule="atLeast"/>
        </w:trPr>
        <w:tc>
          <w:tcPr>
            <w:tcW w:w="5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33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定点医疗机构现场检查覆盖率</w:t>
            </w:r>
          </w:p>
        </w:tc>
        <w:tc>
          <w:tcPr>
            <w:tcW w:w="12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630" w:hRule="atLeast"/>
        </w:trPr>
        <w:tc>
          <w:tcPr>
            <w:tcW w:w="5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33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定点零售药店现场检查覆盖率</w:t>
            </w:r>
          </w:p>
        </w:tc>
        <w:tc>
          <w:tcPr>
            <w:tcW w:w="12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640" w:hRule="atLeast"/>
        </w:trPr>
        <w:tc>
          <w:tcPr>
            <w:tcW w:w="5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33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对辖区内经办机构的抽查数量</w:t>
            </w:r>
          </w:p>
        </w:tc>
        <w:tc>
          <w:tcPr>
            <w:tcW w:w="12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≥30%</w:t>
            </w:r>
          </w:p>
        </w:tc>
      </w:tr>
      <w:tr>
        <w:tblPrEx>
          <w:tblCellMar>
            <w:top w:w="0" w:type="dxa"/>
            <w:left w:w="108" w:type="dxa"/>
            <w:bottom w:w="0" w:type="dxa"/>
            <w:right w:w="108" w:type="dxa"/>
          </w:tblCellMar>
        </w:tblPrEx>
        <w:trPr>
          <w:trHeight w:val="630" w:hRule="atLeast"/>
        </w:trPr>
        <w:tc>
          <w:tcPr>
            <w:tcW w:w="5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时效指标</w:t>
            </w:r>
          </w:p>
        </w:tc>
        <w:tc>
          <w:tcPr>
            <w:tcW w:w="233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完成年度各类监督检查任务时间</w:t>
            </w:r>
          </w:p>
        </w:tc>
        <w:tc>
          <w:tcPr>
            <w:tcW w:w="12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2024年12月30日前</w:t>
            </w:r>
          </w:p>
        </w:tc>
      </w:tr>
      <w:tr>
        <w:tblPrEx>
          <w:tblCellMar>
            <w:top w:w="0" w:type="dxa"/>
            <w:left w:w="108" w:type="dxa"/>
            <w:bottom w:w="0" w:type="dxa"/>
            <w:right w:w="108" w:type="dxa"/>
          </w:tblCellMar>
        </w:tblPrEx>
        <w:trPr>
          <w:trHeight w:val="630" w:hRule="atLeast"/>
        </w:trPr>
        <w:tc>
          <w:tcPr>
            <w:tcW w:w="5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成本指标</w:t>
            </w:r>
          </w:p>
        </w:tc>
        <w:tc>
          <w:tcPr>
            <w:tcW w:w="233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医保能力提升经费(基金监管)</w:t>
            </w:r>
          </w:p>
        </w:tc>
        <w:tc>
          <w:tcPr>
            <w:tcW w:w="12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≤80万元</w:t>
            </w:r>
          </w:p>
        </w:tc>
      </w:tr>
      <w:tr>
        <w:tblPrEx>
          <w:tblCellMar>
            <w:top w:w="0" w:type="dxa"/>
            <w:left w:w="108" w:type="dxa"/>
            <w:bottom w:w="0" w:type="dxa"/>
            <w:right w:w="108" w:type="dxa"/>
          </w:tblCellMar>
        </w:tblPrEx>
        <w:trPr>
          <w:trHeight w:val="640" w:hRule="atLeast"/>
        </w:trPr>
        <w:tc>
          <w:tcPr>
            <w:tcW w:w="59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效益指标</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可持续影响指标</w:t>
            </w:r>
          </w:p>
        </w:tc>
        <w:tc>
          <w:tcPr>
            <w:tcW w:w="233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区域联盟议价采购药品、医用耗材执行期</w:t>
            </w:r>
          </w:p>
        </w:tc>
        <w:tc>
          <w:tcPr>
            <w:tcW w:w="12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≥2年</w:t>
            </w:r>
          </w:p>
        </w:tc>
      </w:tr>
      <w:tr>
        <w:tblPrEx>
          <w:tblCellMar>
            <w:top w:w="0" w:type="dxa"/>
            <w:left w:w="108" w:type="dxa"/>
            <w:bottom w:w="0" w:type="dxa"/>
            <w:right w:w="108" w:type="dxa"/>
          </w:tblCellMar>
        </w:tblPrEx>
        <w:trPr>
          <w:trHeight w:val="630" w:hRule="atLeast"/>
        </w:trPr>
        <w:tc>
          <w:tcPr>
            <w:tcW w:w="5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233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经办机构满意度</w:t>
            </w:r>
          </w:p>
        </w:tc>
        <w:tc>
          <w:tcPr>
            <w:tcW w:w="12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≥90%</w:t>
            </w:r>
          </w:p>
        </w:tc>
      </w:tr>
      <w:tr>
        <w:tblPrEx>
          <w:tblCellMar>
            <w:top w:w="0" w:type="dxa"/>
            <w:left w:w="108" w:type="dxa"/>
            <w:bottom w:w="0" w:type="dxa"/>
            <w:right w:w="108" w:type="dxa"/>
          </w:tblCellMar>
        </w:tblPrEx>
        <w:trPr>
          <w:trHeight w:val="645" w:hRule="atLeast"/>
        </w:trPr>
        <w:tc>
          <w:tcPr>
            <w:tcW w:w="5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233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参赛县市满意度</w:t>
            </w:r>
          </w:p>
        </w:tc>
        <w:tc>
          <w:tcPr>
            <w:tcW w:w="12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bl>
    <w:p>
      <w:pPr>
        <w:rPr>
          <w:color w:val="auto"/>
          <w:highlight w:val="none"/>
          <w:lang w:eastAsia="zh-CN"/>
        </w:rPr>
      </w:pPr>
      <w:r>
        <w:rPr>
          <w:color w:val="auto"/>
          <w:highlight w:val="none"/>
          <w:lang w:eastAsia="zh-CN"/>
        </w:rPr>
        <w:br w:type="page"/>
      </w:r>
    </w:p>
    <w:p>
      <w:pPr>
        <w:pStyle w:val="38"/>
        <w:jc w:val="both"/>
        <w:rPr>
          <w:color w:val="auto"/>
          <w:highlight w:val="none"/>
          <w:lang w:eastAsia="zh-CN"/>
        </w:rPr>
      </w:pPr>
    </w:p>
    <w:tbl>
      <w:tblPr>
        <w:tblStyle w:val="14"/>
        <w:tblW w:w="5000" w:type="pct"/>
        <w:tblInd w:w="0" w:type="dxa"/>
        <w:tblLayout w:type="autofit"/>
        <w:tblCellMar>
          <w:top w:w="0" w:type="dxa"/>
          <w:left w:w="108" w:type="dxa"/>
          <w:bottom w:w="0" w:type="dxa"/>
          <w:right w:w="108" w:type="dxa"/>
        </w:tblCellMar>
      </w:tblPr>
      <w:tblGrid>
        <w:gridCol w:w="1176"/>
        <w:gridCol w:w="1378"/>
        <w:gridCol w:w="519"/>
        <w:gridCol w:w="845"/>
        <w:gridCol w:w="1698"/>
        <w:gridCol w:w="961"/>
        <w:gridCol w:w="943"/>
        <w:gridCol w:w="1428"/>
      </w:tblGrid>
      <w:tr>
        <w:tblPrEx>
          <w:tblCellMar>
            <w:top w:w="0" w:type="dxa"/>
            <w:left w:w="108" w:type="dxa"/>
            <w:bottom w:w="0" w:type="dxa"/>
            <w:right w:w="108" w:type="dxa"/>
          </w:tblCellMar>
        </w:tblPrEx>
        <w:trPr>
          <w:trHeight w:val="420" w:hRule="atLeast"/>
        </w:trPr>
        <w:tc>
          <w:tcPr>
            <w:tcW w:w="5000" w:type="pct"/>
            <w:gridSpan w:val="8"/>
            <w:tcBorders>
              <w:top w:val="nil"/>
              <w:left w:val="nil"/>
              <w:bottom w:val="nil"/>
              <w:right w:val="nil"/>
            </w:tcBorders>
            <w:shd w:val="clear" w:color="auto" w:fill="auto"/>
          </w:tcPr>
          <w:p>
            <w:pPr>
              <w:jc w:val="center"/>
              <w:textAlignment w:val="center"/>
              <w:rPr>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eastAsia="zh-CN"/>
              </w:rPr>
              <w:t>项 目 支 出 绩 效 目 标 表 ( 克州  )</w:t>
            </w:r>
          </w:p>
        </w:tc>
      </w:tr>
      <w:tr>
        <w:tblPrEx>
          <w:tblCellMar>
            <w:top w:w="0" w:type="dxa"/>
            <w:left w:w="108" w:type="dxa"/>
            <w:bottom w:w="0" w:type="dxa"/>
            <w:right w:w="108" w:type="dxa"/>
          </w:tblCellMar>
        </w:tblPrEx>
        <w:trPr>
          <w:trHeight w:val="375" w:hRule="atLeast"/>
        </w:trPr>
        <w:tc>
          <w:tcPr>
            <w:tcW w:w="5000" w:type="pct"/>
            <w:gridSpan w:val="8"/>
            <w:tcBorders>
              <w:top w:val="nil"/>
              <w:left w:val="nil"/>
              <w:bottom w:val="nil"/>
              <w:right w:val="nil"/>
            </w:tcBorders>
            <w:shd w:val="clear" w:color="auto" w:fill="auto"/>
          </w:tcPr>
          <w:p>
            <w:pPr>
              <w:jc w:val="center"/>
              <w:textAlignment w:val="center"/>
              <w:rPr>
                <w:b/>
                <w:bCs/>
                <w:color w:val="auto"/>
                <w:sz w:val="28"/>
                <w:szCs w:val="28"/>
                <w:highlight w:val="none"/>
              </w:rPr>
            </w:pPr>
            <w:r>
              <w:rPr>
                <w:rStyle w:val="25"/>
                <w:rFonts w:hint="eastAsia" w:ascii="仿宋_GB2312" w:hAnsi="仿宋_GB2312" w:eastAsia="仿宋_GB2312" w:cs="仿宋_GB2312"/>
                <w:b w:val="0"/>
                <w:bCs w:val="0"/>
                <w:color w:val="auto"/>
                <w:sz w:val="24"/>
                <w:szCs w:val="24"/>
                <w:highlight w:val="none"/>
                <w:lang w:eastAsia="zh-CN"/>
              </w:rPr>
              <w:t>(2024年)</w:t>
            </w:r>
          </w:p>
        </w:tc>
      </w:tr>
      <w:tr>
        <w:tblPrEx>
          <w:tblCellMar>
            <w:top w:w="0" w:type="dxa"/>
            <w:left w:w="108" w:type="dxa"/>
            <w:bottom w:w="0" w:type="dxa"/>
            <w:right w:w="108" w:type="dxa"/>
          </w:tblCellMar>
        </w:tblPrEx>
        <w:trPr>
          <w:trHeight w:val="515" w:hRule="atLeast"/>
        </w:trPr>
        <w:tc>
          <w:tcPr>
            <w:tcW w:w="6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预算单位</w:t>
            </w:r>
          </w:p>
        </w:tc>
        <w:tc>
          <w:tcPr>
            <w:tcW w:w="248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新疆维吾尔自治区医疗保障局</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项目名称</w:t>
            </w:r>
          </w:p>
        </w:tc>
        <w:tc>
          <w:tcPr>
            <w:tcW w:w="13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医保能力提升经费</w:t>
            </w:r>
          </w:p>
        </w:tc>
      </w:tr>
      <w:tr>
        <w:tblPrEx>
          <w:tblCellMar>
            <w:top w:w="0" w:type="dxa"/>
            <w:left w:w="108" w:type="dxa"/>
            <w:bottom w:w="0" w:type="dxa"/>
            <w:right w:w="108" w:type="dxa"/>
          </w:tblCellMar>
        </w:tblPrEx>
        <w:trPr>
          <w:trHeight w:val="660" w:hRule="atLeast"/>
        </w:trPr>
        <w:tc>
          <w:tcPr>
            <w:tcW w:w="6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项目资金</w:t>
            </w:r>
            <w:r>
              <w:rPr>
                <w:rFonts w:hint="eastAsia" w:ascii="仿宋_GB2312" w:eastAsia="仿宋_GB2312" w:cs="仿宋_GB2312"/>
                <w:b/>
                <w:bCs/>
                <w:color w:val="auto"/>
                <w:sz w:val="20"/>
                <w:szCs w:val="20"/>
                <w:highlight w:val="none"/>
                <w:lang w:eastAsia="zh-CN"/>
              </w:rPr>
              <w:br w:type="textWrapping"/>
            </w:r>
            <w:r>
              <w:rPr>
                <w:rFonts w:hint="eastAsia" w:ascii="仿宋_GB2312" w:eastAsia="仿宋_GB2312" w:cs="仿宋_GB2312"/>
                <w:b/>
                <w:bCs/>
                <w:color w:val="auto"/>
                <w:sz w:val="20"/>
                <w:szCs w:val="20"/>
                <w:highlight w:val="none"/>
                <w:lang w:eastAsia="zh-CN"/>
              </w:rPr>
              <w:t>(万元)</w:t>
            </w:r>
          </w:p>
        </w:tc>
        <w:tc>
          <w:tcPr>
            <w:tcW w:w="10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年度资金总额：</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color w:val="auto"/>
                <w:sz w:val="20"/>
                <w:szCs w:val="20"/>
                <w:highlight w:val="none"/>
                <w:lang w:eastAsia="zh-CN"/>
              </w:rPr>
              <w:t>137.6</w:t>
            </w:r>
          </w:p>
        </w:tc>
        <w:tc>
          <w:tcPr>
            <w:tcW w:w="94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b/>
                <w:bCs/>
                <w:color w:val="auto"/>
                <w:sz w:val="20"/>
                <w:szCs w:val="20"/>
                <w:highlight w:val="none"/>
                <w:lang w:eastAsia="zh-CN"/>
              </w:rPr>
              <w:t>其中：财政拨款</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137.6</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其他资金</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0</w:t>
            </w:r>
          </w:p>
        </w:tc>
      </w:tr>
      <w:tr>
        <w:tblPrEx>
          <w:tblCellMar>
            <w:top w:w="0" w:type="dxa"/>
            <w:left w:w="108" w:type="dxa"/>
            <w:bottom w:w="0" w:type="dxa"/>
            <w:right w:w="108" w:type="dxa"/>
          </w:tblCellMar>
        </w:tblPrEx>
        <w:trPr>
          <w:trHeight w:val="1605" w:hRule="atLeast"/>
        </w:trPr>
        <w:tc>
          <w:tcPr>
            <w:tcW w:w="6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项目总体目标</w:t>
            </w:r>
          </w:p>
        </w:tc>
        <w:tc>
          <w:tcPr>
            <w:tcW w:w="434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目标1:组织开展以“岗位练兵优服务，业务比武强规范”为主题的全地区医保经办系统练兵比武活动，通过练兵比武活动，为经办干部搭建补短板、强弱项、比技能的平台。</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2:常态化制度化落实药品耗材集中带量采购，推动医疗服务项目运行监测，建立长效医药集采落实情况、价格和供应监测机制，加强监测点建设，优先选择覆盖面大、信息化水平较好、反映区域内情况的单位作为监测点，逐步延伸至各级医疗机构、零售药店、配送企业，推动集中带量采购落实效果的监测能力提升，提高异常信息发现和处置能力。</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3:根据自治区DRG/DIP支付方式改革三年行动计划部署要求，逐步提高统筹地区、医疗机构、病种分组、医保基金覆盖率。统筹地区医疗机构覆盖面：2024年底实现全覆盖。统筹地区病种覆盖面：2024年底实现入组率达到90%以上。统筹地区医保基金总额预算覆盖率：2024年底不低于70%。</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4:加强医疗保障基金使用常态化监管，建立健全监督检查、智能监控、举报奖励、信用管理、综合监管、社会监督长效机制，多措并举织密基金监管网，进一步提升基金监管法制化、专业化、信息化水平，提升监管效能，有效维护医保基金安全；进一步压紧压实基金监管责任，强化医保行政监管责任、经办日常审核检查责任，推动落实定点医药机构医保基金使用主体责任、地方政府属地监管责任。</w:t>
            </w:r>
          </w:p>
        </w:tc>
      </w:tr>
      <w:tr>
        <w:tblPrEx>
          <w:tblCellMar>
            <w:top w:w="0" w:type="dxa"/>
            <w:left w:w="108" w:type="dxa"/>
            <w:bottom w:w="0" w:type="dxa"/>
            <w:right w:w="108" w:type="dxa"/>
          </w:tblCellMar>
        </w:tblPrEx>
        <w:trPr>
          <w:trHeight w:val="480" w:hRule="atLeast"/>
        </w:trPr>
        <w:tc>
          <w:tcPr>
            <w:tcW w:w="6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一级指标</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二级指标</w:t>
            </w:r>
          </w:p>
        </w:tc>
        <w:tc>
          <w:tcPr>
            <w:tcW w:w="224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三级指标</w:t>
            </w:r>
          </w:p>
        </w:tc>
        <w:tc>
          <w:tcPr>
            <w:tcW w:w="13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lang w:eastAsia="zh-CN"/>
              </w:rPr>
            </w:pPr>
            <w:r>
              <w:rPr>
                <w:rFonts w:hint="eastAsia" w:ascii="仿宋_GB2312" w:eastAsia="仿宋_GB2312" w:cs="仿宋_GB2312"/>
                <w:b/>
                <w:bCs/>
                <w:color w:val="auto"/>
                <w:sz w:val="20"/>
                <w:szCs w:val="20"/>
                <w:highlight w:val="none"/>
                <w:lang w:eastAsia="zh-CN"/>
              </w:rPr>
              <w:t>指标值(包含数字及文字描述)</w:t>
            </w:r>
          </w:p>
        </w:tc>
      </w:tr>
      <w:tr>
        <w:tblPrEx>
          <w:tblCellMar>
            <w:top w:w="0" w:type="dxa"/>
            <w:left w:w="108" w:type="dxa"/>
            <w:bottom w:w="0" w:type="dxa"/>
            <w:right w:w="108" w:type="dxa"/>
          </w:tblCellMar>
        </w:tblPrEx>
        <w:trPr>
          <w:trHeight w:val="540" w:hRule="atLeast"/>
        </w:trPr>
        <w:tc>
          <w:tcPr>
            <w:tcW w:w="6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产出指标</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24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租赁演播厅场地数量</w:t>
            </w:r>
          </w:p>
        </w:tc>
        <w:tc>
          <w:tcPr>
            <w:tcW w:w="13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≥1个</w:t>
            </w:r>
          </w:p>
        </w:tc>
      </w:tr>
      <w:tr>
        <w:tblPrEx>
          <w:tblCellMar>
            <w:top w:w="0" w:type="dxa"/>
            <w:left w:w="108" w:type="dxa"/>
            <w:bottom w:w="0" w:type="dxa"/>
            <w:right w:w="108" w:type="dxa"/>
          </w:tblCellMar>
        </w:tblPrEx>
        <w:trPr>
          <w:trHeight w:val="510" w:hRule="atLeast"/>
        </w:trPr>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247" w:type="pct"/>
            <w:gridSpan w:val="4"/>
            <w:tcBorders>
              <w:top w:val="single" w:color="000000" w:sz="4" w:space="0"/>
              <w:left w:val="single" w:color="000000" w:sz="4" w:space="0"/>
              <w:bottom w:val="single" w:color="000000" w:sz="4" w:space="0"/>
              <w:right w:val="single" w:color="000000" w:sz="4" w:space="0"/>
            </w:tcBorders>
            <w:shd w:val="clear" w:color="auto" w:fill="auto"/>
          </w:tcPr>
          <w:p>
            <w:pPr>
              <w:jc w:val="center"/>
              <w:textAlignment w:val="top"/>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召开医药价格工作政策吹风会、宣传活动、调研指导</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次数</w:t>
            </w:r>
          </w:p>
        </w:tc>
        <w:tc>
          <w:tcPr>
            <w:tcW w:w="13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≥2次</w:t>
            </w:r>
          </w:p>
        </w:tc>
      </w:tr>
      <w:tr>
        <w:tblPrEx>
          <w:tblCellMar>
            <w:top w:w="0" w:type="dxa"/>
            <w:left w:w="108" w:type="dxa"/>
            <w:bottom w:w="0" w:type="dxa"/>
            <w:right w:w="108" w:type="dxa"/>
          </w:tblCellMar>
        </w:tblPrEx>
        <w:trPr>
          <w:trHeight w:val="540" w:hRule="atLeast"/>
        </w:trPr>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24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召开医药价格工作会议或培训</w:t>
            </w:r>
          </w:p>
        </w:tc>
        <w:tc>
          <w:tcPr>
            <w:tcW w:w="13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≥2次</w:t>
            </w:r>
          </w:p>
        </w:tc>
      </w:tr>
      <w:tr>
        <w:tblPrEx>
          <w:tblCellMar>
            <w:top w:w="0" w:type="dxa"/>
            <w:left w:w="108" w:type="dxa"/>
            <w:bottom w:w="0" w:type="dxa"/>
            <w:right w:w="108" w:type="dxa"/>
          </w:tblCellMar>
        </w:tblPrEx>
        <w:trPr>
          <w:trHeight w:val="540" w:hRule="atLeast"/>
        </w:trPr>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24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2024年底实现统筹地区病种覆盖入组率</w:t>
            </w:r>
          </w:p>
        </w:tc>
        <w:tc>
          <w:tcPr>
            <w:tcW w:w="13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≥90%</w:t>
            </w:r>
          </w:p>
        </w:tc>
      </w:tr>
      <w:tr>
        <w:tblPrEx>
          <w:tblCellMar>
            <w:top w:w="0" w:type="dxa"/>
            <w:left w:w="108" w:type="dxa"/>
            <w:bottom w:w="0" w:type="dxa"/>
            <w:right w:w="108" w:type="dxa"/>
          </w:tblCellMar>
        </w:tblPrEx>
        <w:trPr>
          <w:trHeight w:val="530" w:hRule="atLeast"/>
        </w:trPr>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24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定点医疗机构现场检查覆盖率</w:t>
            </w:r>
          </w:p>
        </w:tc>
        <w:tc>
          <w:tcPr>
            <w:tcW w:w="13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540" w:hRule="atLeast"/>
        </w:trPr>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24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定点零售药店现场检查覆盖率</w:t>
            </w:r>
          </w:p>
        </w:tc>
        <w:tc>
          <w:tcPr>
            <w:tcW w:w="13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540" w:hRule="atLeast"/>
        </w:trPr>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质量指标</w:t>
            </w:r>
          </w:p>
        </w:tc>
        <w:tc>
          <w:tcPr>
            <w:tcW w:w="224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购买医药价格监测硬件设施并配备至监测点</w:t>
            </w:r>
          </w:p>
        </w:tc>
        <w:tc>
          <w:tcPr>
            <w:tcW w:w="13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540" w:hRule="atLeast"/>
        </w:trPr>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时效指标</w:t>
            </w:r>
          </w:p>
        </w:tc>
        <w:tc>
          <w:tcPr>
            <w:tcW w:w="224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完成年度各类监督检查任务时间(基金监管)</w:t>
            </w:r>
          </w:p>
        </w:tc>
        <w:tc>
          <w:tcPr>
            <w:tcW w:w="13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2024年12月20日前</w:t>
            </w:r>
          </w:p>
        </w:tc>
      </w:tr>
      <w:tr>
        <w:tblPrEx>
          <w:tblCellMar>
            <w:top w:w="0" w:type="dxa"/>
            <w:left w:w="108" w:type="dxa"/>
            <w:bottom w:w="0" w:type="dxa"/>
            <w:right w:w="108" w:type="dxa"/>
          </w:tblCellMar>
        </w:tblPrEx>
        <w:trPr>
          <w:trHeight w:val="530" w:hRule="atLeast"/>
        </w:trPr>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成本指标</w:t>
            </w:r>
          </w:p>
        </w:tc>
        <w:tc>
          <w:tcPr>
            <w:tcW w:w="224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医保能力提升经费(基金监管)</w:t>
            </w:r>
          </w:p>
        </w:tc>
        <w:tc>
          <w:tcPr>
            <w:tcW w:w="13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≤50万元</w:t>
            </w:r>
          </w:p>
        </w:tc>
      </w:tr>
      <w:tr>
        <w:tblPrEx>
          <w:tblCellMar>
            <w:top w:w="0" w:type="dxa"/>
            <w:left w:w="108" w:type="dxa"/>
            <w:bottom w:w="0" w:type="dxa"/>
            <w:right w:w="108" w:type="dxa"/>
          </w:tblCellMar>
        </w:tblPrEx>
        <w:trPr>
          <w:trHeight w:val="540" w:hRule="atLeast"/>
        </w:trPr>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成本指标</w:t>
            </w:r>
          </w:p>
        </w:tc>
        <w:tc>
          <w:tcPr>
            <w:tcW w:w="224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DRG支付方式改革能力提升经费</w:t>
            </w:r>
          </w:p>
        </w:tc>
        <w:tc>
          <w:tcPr>
            <w:tcW w:w="13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&lt;50万元</w:t>
            </w:r>
          </w:p>
        </w:tc>
      </w:tr>
      <w:tr>
        <w:tblPrEx>
          <w:tblCellMar>
            <w:top w:w="0" w:type="dxa"/>
            <w:left w:w="108" w:type="dxa"/>
            <w:bottom w:w="0" w:type="dxa"/>
            <w:right w:w="108" w:type="dxa"/>
          </w:tblCellMar>
        </w:tblPrEx>
        <w:trPr>
          <w:trHeight w:val="540" w:hRule="atLeast"/>
        </w:trPr>
        <w:tc>
          <w:tcPr>
            <w:tcW w:w="6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效益指标</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社会效益指标</w:t>
            </w:r>
          </w:p>
        </w:tc>
        <w:tc>
          <w:tcPr>
            <w:tcW w:w="224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提升全州经办队伍能力，提高经办服务水平</w:t>
            </w:r>
          </w:p>
        </w:tc>
        <w:tc>
          <w:tcPr>
            <w:tcW w:w="13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有效提升</w:t>
            </w:r>
          </w:p>
        </w:tc>
      </w:tr>
      <w:tr>
        <w:tblPrEx>
          <w:tblCellMar>
            <w:top w:w="0" w:type="dxa"/>
            <w:left w:w="108" w:type="dxa"/>
            <w:bottom w:w="0" w:type="dxa"/>
            <w:right w:w="108" w:type="dxa"/>
          </w:tblCellMar>
        </w:tblPrEx>
        <w:trPr>
          <w:trHeight w:val="540" w:hRule="atLeast"/>
        </w:trPr>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可持续影响指标</w:t>
            </w:r>
          </w:p>
        </w:tc>
        <w:tc>
          <w:tcPr>
            <w:tcW w:w="224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区域联盟议价采购药品、医用耗材执行期</w:t>
            </w:r>
          </w:p>
        </w:tc>
        <w:tc>
          <w:tcPr>
            <w:tcW w:w="13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≥2年</w:t>
            </w:r>
          </w:p>
        </w:tc>
      </w:tr>
      <w:tr>
        <w:tblPrEx>
          <w:tblCellMar>
            <w:top w:w="0" w:type="dxa"/>
            <w:left w:w="108" w:type="dxa"/>
            <w:bottom w:w="0" w:type="dxa"/>
            <w:right w:w="108" w:type="dxa"/>
          </w:tblCellMar>
        </w:tblPrEx>
        <w:trPr>
          <w:trHeight w:val="530" w:hRule="atLeast"/>
        </w:trPr>
        <w:tc>
          <w:tcPr>
            <w:tcW w:w="6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224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经办机构满意度</w:t>
            </w:r>
          </w:p>
        </w:tc>
        <w:tc>
          <w:tcPr>
            <w:tcW w:w="13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≥90%</w:t>
            </w:r>
          </w:p>
        </w:tc>
      </w:tr>
      <w:tr>
        <w:tblPrEx>
          <w:tblCellMar>
            <w:top w:w="0" w:type="dxa"/>
            <w:left w:w="108" w:type="dxa"/>
            <w:bottom w:w="0" w:type="dxa"/>
            <w:right w:w="108" w:type="dxa"/>
          </w:tblCellMar>
        </w:tblPrEx>
        <w:trPr>
          <w:trHeight w:val="535" w:hRule="atLeast"/>
        </w:trPr>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224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参赛县(市)满意度</w:t>
            </w:r>
          </w:p>
        </w:tc>
        <w:tc>
          <w:tcPr>
            <w:tcW w:w="13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≥90%</w:t>
            </w:r>
          </w:p>
        </w:tc>
      </w:tr>
    </w:tbl>
    <w:p>
      <w:pPr>
        <w:pStyle w:val="38"/>
        <w:jc w:val="both"/>
        <w:rPr>
          <w:color w:val="auto"/>
          <w:highlight w:val="none"/>
          <w:lang w:eastAsia="zh-CN"/>
        </w:rPr>
      </w:pPr>
    </w:p>
    <w:p>
      <w:pPr>
        <w:pStyle w:val="38"/>
        <w:jc w:val="both"/>
        <w:rPr>
          <w:color w:val="auto"/>
          <w:highlight w:val="none"/>
          <w:lang w:eastAsia="zh-CN"/>
        </w:rPr>
      </w:pPr>
    </w:p>
    <w:tbl>
      <w:tblPr>
        <w:tblStyle w:val="14"/>
        <w:tblW w:w="5000" w:type="pct"/>
        <w:tblInd w:w="0" w:type="dxa"/>
        <w:tblLayout w:type="autofit"/>
        <w:tblCellMar>
          <w:top w:w="0" w:type="dxa"/>
          <w:left w:w="108" w:type="dxa"/>
          <w:bottom w:w="0" w:type="dxa"/>
          <w:right w:w="108" w:type="dxa"/>
        </w:tblCellMar>
      </w:tblPr>
      <w:tblGrid>
        <w:gridCol w:w="1070"/>
        <w:gridCol w:w="1219"/>
        <w:gridCol w:w="621"/>
        <w:gridCol w:w="931"/>
        <w:gridCol w:w="1845"/>
        <w:gridCol w:w="1054"/>
        <w:gridCol w:w="807"/>
        <w:gridCol w:w="1401"/>
      </w:tblGrid>
      <w:tr>
        <w:tblPrEx>
          <w:tblCellMar>
            <w:top w:w="0" w:type="dxa"/>
            <w:left w:w="108" w:type="dxa"/>
            <w:bottom w:w="0" w:type="dxa"/>
            <w:right w:w="108" w:type="dxa"/>
          </w:tblCellMar>
        </w:tblPrEx>
        <w:trPr>
          <w:trHeight w:val="435" w:hRule="atLeast"/>
        </w:trPr>
        <w:tc>
          <w:tcPr>
            <w:tcW w:w="5000" w:type="pct"/>
            <w:gridSpan w:val="8"/>
            <w:tcBorders>
              <w:top w:val="nil"/>
              <w:left w:val="nil"/>
              <w:bottom w:val="nil"/>
              <w:right w:val="nil"/>
            </w:tcBorders>
            <w:shd w:val="clear" w:color="auto" w:fill="auto"/>
            <w:vAlign w:val="center"/>
          </w:tcPr>
          <w:p>
            <w:pPr>
              <w:jc w:val="center"/>
              <w:textAlignment w:val="center"/>
              <w:rPr>
                <w:b/>
                <w:bCs/>
                <w:color w:val="auto"/>
                <w:sz w:val="34"/>
                <w:szCs w:val="34"/>
                <w:highlight w:val="none"/>
                <w:lang w:eastAsia="zh-CN"/>
              </w:rPr>
            </w:pPr>
            <w:r>
              <w:rPr>
                <w:rFonts w:hint="eastAsia" w:ascii="仿宋_GB2312" w:hAnsi="仿宋_GB2312" w:eastAsia="仿宋_GB2312" w:cs="仿宋_GB2312"/>
                <w:b/>
                <w:bCs/>
                <w:color w:val="auto"/>
                <w:sz w:val="32"/>
                <w:szCs w:val="32"/>
                <w:highlight w:val="none"/>
                <w:lang w:eastAsia="zh-CN"/>
              </w:rPr>
              <w:t>项 目 支 出 绩 效 目 标 表 ( 喀什地区 )</w:t>
            </w:r>
          </w:p>
        </w:tc>
      </w:tr>
      <w:tr>
        <w:tblPrEx>
          <w:tblCellMar>
            <w:top w:w="0" w:type="dxa"/>
            <w:left w:w="108" w:type="dxa"/>
            <w:bottom w:w="0" w:type="dxa"/>
            <w:right w:w="108" w:type="dxa"/>
          </w:tblCellMar>
        </w:tblPrEx>
        <w:trPr>
          <w:trHeight w:val="405" w:hRule="atLeast"/>
        </w:trPr>
        <w:tc>
          <w:tcPr>
            <w:tcW w:w="5000" w:type="pct"/>
            <w:gridSpan w:val="8"/>
            <w:tcBorders>
              <w:top w:val="nil"/>
              <w:left w:val="nil"/>
              <w:bottom w:val="nil"/>
              <w:right w:val="nil"/>
            </w:tcBorders>
            <w:shd w:val="clear" w:color="auto" w:fill="auto"/>
          </w:tcPr>
          <w:p>
            <w:pPr>
              <w:jc w:val="center"/>
              <w:textAlignment w:val="center"/>
              <w:rPr>
                <w:b/>
                <w:bCs/>
                <w:color w:val="auto"/>
                <w:sz w:val="28"/>
                <w:szCs w:val="28"/>
                <w:highlight w:val="none"/>
              </w:rPr>
            </w:pPr>
            <w:r>
              <w:rPr>
                <w:rStyle w:val="25"/>
                <w:rFonts w:hint="eastAsia" w:ascii="仿宋_GB2312" w:hAnsi="仿宋_GB2312" w:eastAsia="仿宋_GB2312" w:cs="仿宋_GB2312"/>
                <w:b w:val="0"/>
                <w:bCs w:val="0"/>
                <w:color w:val="auto"/>
                <w:sz w:val="24"/>
                <w:szCs w:val="24"/>
                <w:highlight w:val="none"/>
                <w:lang w:eastAsia="zh-CN"/>
              </w:rPr>
              <w:t>(2024年)</w:t>
            </w:r>
          </w:p>
        </w:tc>
      </w:tr>
      <w:tr>
        <w:tblPrEx>
          <w:tblCellMar>
            <w:top w:w="0" w:type="dxa"/>
            <w:left w:w="108" w:type="dxa"/>
            <w:bottom w:w="0" w:type="dxa"/>
            <w:right w:w="108" w:type="dxa"/>
          </w:tblCellMar>
        </w:tblPrEx>
        <w:trPr>
          <w:trHeight w:val="495" w:hRule="atLeast"/>
        </w:trPr>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预算单位</w:t>
            </w:r>
          </w:p>
        </w:tc>
        <w:tc>
          <w:tcPr>
            <w:tcW w:w="257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新疆维吾尔自治区医疗保障局</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项目名称</w:t>
            </w:r>
          </w:p>
        </w:tc>
        <w:tc>
          <w:tcPr>
            <w:tcW w:w="1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医保能力提升经费</w:t>
            </w:r>
          </w:p>
        </w:tc>
      </w:tr>
      <w:tr>
        <w:tblPrEx>
          <w:tblCellMar>
            <w:top w:w="0" w:type="dxa"/>
            <w:left w:w="108" w:type="dxa"/>
            <w:bottom w:w="0" w:type="dxa"/>
            <w:right w:w="108" w:type="dxa"/>
          </w:tblCellMar>
        </w:tblPrEx>
        <w:trPr>
          <w:trHeight w:val="690" w:hRule="atLeast"/>
        </w:trPr>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项目资金</w:t>
            </w:r>
            <w:r>
              <w:rPr>
                <w:rFonts w:hint="eastAsia" w:ascii="仿宋_GB2312" w:eastAsia="仿宋_GB2312" w:cs="仿宋_GB2312"/>
                <w:b/>
                <w:bCs/>
                <w:color w:val="auto"/>
                <w:sz w:val="20"/>
                <w:szCs w:val="20"/>
                <w:highlight w:val="none"/>
                <w:lang w:eastAsia="zh-CN"/>
              </w:rPr>
              <w:br w:type="textWrapping"/>
            </w:r>
            <w:r>
              <w:rPr>
                <w:rFonts w:hint="eastAsia" w:ascii="仿宋_GB2312" w:eastAsia="仿宋_GB2312" w:cs="仿宋_GB2312"/>
                <w:b/>
                <w:bCs/>
                <w:color w:val="auto"/>
                <w:sz w:val="20"/>
                <w:szCs w:val="20"/>
                <w:highlight w:val="none"/>
                <w:lang w:eastAsia="zh-CN"/>
              </w:rPr>
              <w:t>(万元)</w:t>
            </w:r>
          </w:p>
        </w:tc>
        <w:tc>
          <w:tcPr>
            <w:tcW w:w="10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年度资金总额：</w:t>
            </w:r>
          </w:p>
        </w:tc>
        <w:tc>
          <w:tcPr>
            <w:tcW w:w="5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304</w:t>
            </w:r>
          </w:p>
        </w:tc>
        <w:tc>
          <w:tcPr>
            <w:tcW w:w="103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其中：财政拨款</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304</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其他资金</w:t>
            </w:r>
          </w:p>
        </w:tc>
        <w:tc>
          <w:tcPr>
            <w:tcW w:w="78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0</w:t>
            </w:r>
          </w:p>
        </w:tc>
      </w:tr>
      <w:tr>
        <w:tblPrEx>
          <w:tblCellMar>
            <w:top w:w="0" w:type="dxa"/>
            <w:left w:w="108" w:type="dxa"/>
            <w:bottom w:w="0" w:type="dxa"/>
            <w:right w:w="108" w:type="dxa"/>
          </w:tblCellMar>
        </w:tblPrEx>
        <w:trPr>
          <w:trHeight w:val="617" w:hRule="atLeast"/>
        </w:trPr>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项目总体目标</w:t>
            </w:r>
          </w:p>
        </w:tc>
        <w:tc>
          <w:tcPr>
            <w:tcW w:w="440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目标1:组织开展以“岗位练兵优服务，业务比武强规范”为主题的全地区医保经办系统练兵比武活动，通过练兵比武活动，为经办干部搭建补短板、强弱项、比技能的平台。</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2:常态化制度化落实药品耗材集中带量采购，推动医疗服务项目运行监测，建立长效医药集采落实情况、价格和供应监测机制，加强监测点建设，优先选择覆盖面大、信息化水平较好、反映区域内情况的单位作为监测点，逐步延伸至各级医疗机构、零售药店、配送企业，推动集中带量采购落实效果的监测能力提升，提高异常信息发现和处置能力。</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3:根据自治区DRG/DIP支付方式改革三年行动计划部署要求，逐步提高统筹地区、医疗机构、病种分组、医保基金覆盖率。统筹地区医疗机构覆盖面：2024年底实现全覆盖。:统筹地区病种覆盖面：2024年底实现入组率达到90%以上。统筹地区医保基金总额预算覆盖率：2024年底不低于</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70%。</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4:加强医疗保障基金使用常态化监管，建立健全监督检查、智能监控、举报奖励、信用管理、综合监管、社会监督长效机制，多措并举织密基金监管网，进一步提升基金监管法制化、专业化、信息化水平，提升监管效能，有效维护医保基金安全；进一步压紧压实基金监管责任，强化医保行政监管责任、经办日常审核检查责任，推动落实定点医药机构医保基金使用主体责任、地方政府属地监管责任。</w:t>
            </w:r>
          </w:p>
        </w:tc>
      </w:tr>
      <w:tr>
        <w:tblPrEx>
          <w:tblCellMar>
            <w:top w:w="0" w:type="dxa"/>
            <w:left w:w="108" w:type="dxa"/>
            <w:bottom w:w="0" w:type="dxa"/>
            <w:right w:w="108" w:type="dxa"/>
          </w:tblCellMar>
        </w:tblPrEx>
        <w:trPr>
          <w:trHeight w:val="530" w:hRule="atLeast"/>
        </w:trPr>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一级指标</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二级指标</w:t>
            </w:r>
          </w:p>
        </w:tc>
        <w:tc>
          <w:tcPr>
            <w:tcW w:w="248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三级指标</w:t>
            </w:r>
          </w:p>
        </w:tc>
        <w:tc>
          <w:tcPr>
            <w:tcW w:w="1232" w:type="pct"/>
            <w:gridSpan w:val="2"/>
            <w:tcBorders>
              <w:top w:val="single" w:color="000000" w:sz="4" w:space="0"/>
              <w:left w:val="single" w:color="000000" w:sz="4" w:space="0"/>
              <w:bottom w:val="single" w:color="000000" w:sz="4" w:space="0"/>
              <w:right w:val="single" w:color="000000" w:sz="4" w:space="0"/>
            </w:tcBorders>
            <w:shd w:val="clear" w:color="auto" w:fill="auto"/>
          </w:tcPr>
          <w:p>
            <w:pPr>
              <w:jc w:val="center"/>
              <w:textAlignment w:val="top"/>
              <w:rPr>
                <w:rFonts w:ascii="仿宋_GB2312" w:eastAsia="仿宋_GB2312" w:cs="仿宋_GB2312"/>
                <w:b/>
                <w:bCs/>
                <w:color w:val="auto"/>
                <w:sz w:val="20"/>
                <w:szCs w:val="20"/>
                <w:highlight w:val="none"/>
                <w:lang w:eastAsia="zh-CN"/>
              </w:rPr>
            </w:pPr>
            <w:r>
              <w:rPr>
                <w:rFonts w:hint="eastAsia" w:ascii="仿宋_GB2312" w:eastAsia="仿宋_GB2312" w:cs="仿宋_GB2312"/>
                <w:b/>
                <w:bCs/>
                <w:color w:val="auto"/>
                <w:sz w:val="20"/>
                <w:szCs w:val="20"/>
                <w:highlight w:val="none"/>
                <w:lang w:eastAsia="zh-CN"/>
              </w:rPr>
              <w:t>指标值(包含数字及文字描述)</w:t>
            </w:r>
          </w:p>
        </w:tc>
      </w:tr>
      <w:tr>
        <w:tblPrEx>
          <w:tblCellMar>
            <w:top w:w="0" w:type="dxa"/>
            <w:left w:w="108" w:type="dxa"/>
            <w:bottom w:w="0" w:type="dxa"/>
            <w:right w:w="108" w:type="dxa"/>
          </w:tblCellMar>
        </w:tblPrEx>
        <w:trPr>
          <w:trHeight w:val="624" w:hRule="atLeast"/>
        </w:trPr>
        <w:tc>
          <w:tcPr>
            <w:tcW w:w="598" w:type="pct"/>
            <w:vMerge w:val="restart"/>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仿宋_GB2312" w:eastAsia="仿宋_GB2312" w:cs="仿宋_GB2312"/>
                <w:color w:val="auto"/>
                <w:sz w:val="20"/>
                <w:szCs w:val="20"/>
                <w:highlight w:val="none"/>
                <w:lang w:eastAsia="zh-CN"/>
              </w:rPr>
            </w:pP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8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练兵比武参赛县(市)数量</w:t>
            </w:r>
          </w:p>
        </w:tc>
        <w:tc>
          <w:tcPr>
            <w:tcW w:w="1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≥12个县市</w:t>
            </w:r>
          </w:p>
        </w:tc>
      </w:tr>
      <w:tr>
        <w:tblPrEx>
          <w:tblCellMar>
            <w:top w:w="0" w:type="dxa"/>
            <w:left w:w="108" w:type="dxa"/>
            <w:bottom w:w="0" w:type="dxa"/>
            <w:right w:w="108" w:type="dxa"/>
          </w:tblCellMar>
        </w:tblPrEx>
        <w:trPr>
          <w:trHeight w:val="624" w:hRule="atLeast"/>
        </w:trPr>
        <w:tc>
          <w:tcPr>
            <w:tcW w:w="598" w:type="pct"/>
            <w:vMerge w:val="continue"/>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仿宋_GB2312" w:eastAsia="仿宋_GB2312" w:cs="仿宋_GB2312"/>
                <w:color w:val="auto"/>
                <w:sz w:val="20"/>
                <w:szCs w:val="20"/>
                <w:highlight w:val="none"/>
              </w:rPr>
            </w:pP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8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召开医药价格工作政策吹风会、宣传活动、调研指导次</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数</w:t>
            </w:r>
          </w:p>
        </w:tc>
        <w:tc>
          <w:tcPr>
            <w:tcW w:w="1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≥2次</w:t>
            </w:r>
          </w:p>
        </w:tc>
      </w:tr>
      <w:tr>
        <w:tblPrEx>
          <w:tblCellMar>
            <w:top w:w="0" w:type="dxa"/>
            <w:left w:w="108" w:type="dxa"/>
            <w:bottom w:w="0" w:type="dxa"/>
            <w:right w:w="108" w:type="dxa"/>
          </w:tblCellMar>
        </w:tblPrEx>
        <w:trPr>
          <w:trHeight w:val="624" w:hRule="atLeast"/>
        </w:trPr>
        <w:tc>
          <w:tcPr>
            <w:tcW w:w="598" w:type="pct"/>
            <w:vMerge w:val="continue"/>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仿宋_GB2312" w:eastAsia="仿宋_GB2312" w:cs="仿宋_GB2312"/>
                <w:color w:val="auto"/>
                <w:sz w:val="20"/>
                <w:szCs w:val="20"/>
                <w:highlight w:val="none"/>
              </w:rPr>
            </w:pP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8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召开医药价格工作会议或培训</w:t>
            </w:r>
          </w:p>
        </w:tc>
        <w:tc>
          <w:tcPr>
            <w:tcW w:w="1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≥2次</w:t>
            </w:r>
          </w:p>
        </w:tc>
      </w:tr>
      <w:tr>
        <w:tblPrEx>
          <w:tblCellMar>
            <w:top w:w="0" w:type="dxa"/>
            <w:left w:w="108" w:type="dxa"/>
            <w:bottom w:w="0" w:type="dxa"/>
            <w:right w:w="108" w:type="dxa"/>
          </w:tblCellMar>
        </w:tblPrEx>
        <w:trPr>
          <w:trHeight w:val="624" w:hRule="atLeast"/>
        </w:trPr>
        <w:tc>
          <w:tcPr>
            <w:tcW w:w="598" w:type="pct"/>
            <w:vMerge w:val="continue"/>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仿宋_GB2312" w:eastAsia="仿宋_GB2312" w:cs="仿宋_GB2312"/>
                <w:color w:val="auto"/>
                <w:sz w:val="20"/>
                <w:szCs w:val="20"/>
                <w:highlight w:val="none"/>
              </w:rPr>
            </w:pP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8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2024年底实现统筹地区病种覆盖入组率</w:t>
            </w:r>
          </w:p>
        </w:tc>
        <w:tc>
          <w:tcPr>
            <w:tcW w:w="1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≥90%</w:t>
            </w:r>
          </w:p>
        </w:tc>
      </w:tr>
      <w:tr>
        <w:tblPrEx>
          <w:tblCellMar>
            <w:top w:w="0" w:type="dxa"/>
            <w:left w:w="108" w:type="dxa"/>
            <w:bottom w:w="0" w:type="dxa"/>
            <w:right w:w="108" w:type="dxa"/>
          </w:tblCellMar>
        </w:tblPrEx>
        <w:trPr>
          <w:trHeight w:val="624" w:hRule="atLeast"/>
        </w:trPr>
        <w:tc>
          <w:tcPr>
            <w:tcW w:w="598" w:type="pct"/>
            <w:vMerge w:val="continue"/>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仿宋_GB2312" w:eastAsia="仿宋_GB2312" w:cs="仿宋_GB2312"/>
                <w:color w:val="auto"/>
                <w:sz w:val="20"/>
                <w:szCs w:val="20"/>
                <w:highlight w:val="none"/>
              </w:rPr>
            </w:pP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8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定点医疗机构现场检查覆盖率</w:t>
            </w:r>
          </w:p>
        </w:tc>
        <w:tc>
          <w:tcPr>
            <w:tcW w:w="1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624" w:hRule="atLeast"/>
        </w:trPr>
        <w:tc>
          <w:tcPr>
            <w:tcW w:w="598" w:type="pct"/>
            <w:vMerge w:val="continue"/>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仿宋_GB2312" w:eastAsia="仿宋_GB2312" w:cs="仿宋_GB2312"/>
                <w:color w:val="auto"/>
                <w:sz w:val="20"/>
                <w:szCs w:val="20"/>
                <w:highlight w:val="none"/>
              </w:rPr>
            </w:pP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8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定点零售药店现场检查覆盖率</w:t>
            </w:r>
          </w:p>
        </w:tc>
        <w:tc>
          <w:tcPr>
            <w:tcW w:w="1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624" w:hRule="atLeast"/>
        </w:trPr>
        <w:tc>
          <w:tcPr>
            <w:tcW w:w="598" w:type="pct"/>
            <w:vMerge w:val="continue"/>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仿宋_GB2312" w:eastAsia="仿宋_GB2312" w:cs="仿宋_GB2312"/>
                <w:color w:val="auto"/>
                <w:sz w:val="20"/>
                <w:szCs w:val="20"/>
                <w:highlight w:val="none"/>
              </w:rPr>
            </w:pP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质量指标</w:t>
            </w:r>
          </w:p>
        </w:tc>
        <w:tc>
          <w:tcPr>
            <w:tcW w:w="248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购买医药价格监测硬件设施并配备至监测点</w:t>
            </w:r>
          </w:p>
        </w:tc>
        <w:tc>
          <w:tcPr>
            <w:tcW w:w="1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624" w:hRule="atLeast"/>
        </w:trPr>
        <w:tc>
          <w:tcPr>
            <w:tcW w:w="598" w:type="pct"/>
            <w:vMerge w:val="continue"/>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仿宋_GB2312" w:eastAsia="仿宋_GB2312" w:cs="仿宋_GB2312"/>
                <w:color w:val="auto"/>
                <w:sz w:val="20"/>
                <w:szCs w:val="20"/>
                <w:highlight w:val="none"/>
              </w:rPr>
            </w:pP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时效指标</w:t>
            </w:r>
          </w:p>
        </w:tc>
        <w:tc>
          <w:tcPr>
            <w:tcW w:w="248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完成年度各类监督检查任务时间(基金监管)</w:t>
            </w:r>
          </w:p>
        </w:tc>
        <w:tc>
          <w:tcPr>
            <w:tcW w:w="1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2024年12月31日前</w:t>
            </w:r>
          </w:p>
        </w:tc>
      </w:tr>
      <w:tr>
        <w:tblPrEx>
          <w:tblCellMar>
            <w:top w:w="0" w:type="dxa"/>
            <w:left w:w="108" w:type="dxa"/>
            <w:bottom w:w="0" w:type="dxa"/>
            <w:right w:w="108" w:type="dxa"/>
          </w:tblCellMar>
        </w:tblPrEx>
        <w:trPr>
          <w:trHeight w:val="624" w:hRule="atLeast"/>
        </w:trPr>
        <w:tc>
          <w:tcPr>
            <w:tcW w:w="598" w:type="pct"/>
            <w:vMerge w:val="continue"/>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仿宋_GB2312" w:eastAsia="仿宋_GB2312" w:cs="仿宋_GB2312"/>
                <w:color w:val="auto"/>
                <w:sz w:val="20"/>
                <w:szCs w:val="20"/>
                <w:highlight w:val="none"/>
              </w:rPr>
            </w:pP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成本指标</w:t>
            </w:r>
          </w:p>
        </w:tc>
        <w:tc>
          <w:tcPr>
            <w:tcW w:w="248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DRG支付方式改革能力提升经费</w:t>
            </w:r>
          </w:p>
        </w:tc>
        <w:tc>
          <w:tcPr>
            <w:tcW w:w="1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≤80万元</w:t>
            </w:r>
          </w:p>
        </w:tc>
      </w:tr>
      <w:tr>
        <w:tblPrEx>
          <w:tblCellMar>
            <w:top w:w="0" w:type="dxa"/>
            <w:left w:w="108" w:type="dxa"/>
            <w:bottom w:w="0" w:type="dxa"/>
            <w:right w:w="108" w:type="dxa"/>
          </w:tblCellMar>
        </w:tblPrEx>
        <w:trPr>
          <w:trHeight w:val="624" w:hRule="atLeast"/>
        </w:trPr>
        <w:tc>
          <w:tcPr>
            <w:tcW w:w="5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效益指标</w:t>
            </w:r>
          </w:p>
        </w:tc>
        <w:tc>
          <w:tcPr>
            <w:tcW w:w="681" w:type="pct"/>
            <w:tcBorders>
              <w:top w:val="single" w:color="000000" w:sz="4" w:space="0"/>
              <w:left w:val="single" w:color="000000" w:sz="4" w:space="0"/>
              <w:bottom w:val="single" w:color="000000" w:sz="4" w:space="0"/>
              <w:right w:val="single" w:color="000000" w:sz="4" w:space="0"/>
            </w:tcBorders>
            <w:shd w:val="clear" w:color="auto" w:fill="auto"/>
          </w:tcPr>
          <w:p>
            <w:pPr>
              <w:jc w:val="center"/>
              <w:textAlignment w:val="top"/>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可持续影响指</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标</w:t>
            </w:r>
          </w:p>
        </w:tc>
        <w:tc>
          <w:tcPr>
            <w:tcW w:w="248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区域联盟议价采购药品、医用耗材执行期</w:t>
            </w:r>
          </w:p>
        </w:tc>
        <w:tc>
          <w:tcPr>
            <w:tcW w:w="1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≥2年</w:t>
            </w:r>
          </w:p>
        </w:tc>
      </w:tr>
      <w:tr>
        <w:tblPrEx>
          <w:tblCellMar>
            <w:top w:w="0" w:type="dxa"/>
            <w:left w:w="108" w:type="dxa"/>
            <w:bottom w:w="0" w:type="dxa"/>
            <w:right w:w="108" w:type="dxa"/>
          </w:tblCellMar>
        </w:tblPrEx>
        <w:trPr>
          <w:trHeight w:val="624" w:hRule="atLeast"/>
        </w:trPr>
        <w:tc>
          <w:tcPr>
            <w:tcW w:w="5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248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经办机构满意度</w:t>
            </w:r>
          </w:p>
        </w:tc>
        <w:tc>
          <w:tcPr>
            <w:tcW w:w="1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≥90%</w:t>
            </w:r>
          </w:p>
        </w:tc>
      </w:tr>
      <w:tr>
        <w:tblPrEx>
          <w:tblCellMar>
            <w:top w:w="0" w:type="dxa"/>
            <w:left w:w="108" w:type="dxa"/>
            <w:bottom w:w="0" w:type="dxa"/>
            <w:right w:w="108" w:type="dxa"/>
          </w:tblCellMar>
        </w:tblPrEx>
        <w:trPr>
          <w:trHeight w:val="624" w:hRule="atLeast"/>
        </w:trPr>
        <w:tc>
          <w:tcPr>
            <w:tcW w:w="5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248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参赛县(市)满意度</w:t>
            </w:r>
          </w:p>
        </w:tc>
        <w:tc>
          <w:tcPr>
            <w:tcW w:w="12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≥90%</w:t>
            </w:r>
          </w:p>
        </w:tc>
      </w:tr>
    </w:tbl>
    <w:p>
      <w:pPr>
        <w:pStyle w:val="38"/>
        <w:jc w:val="both"/>
        <w:rPr>
          <w:color w:val="auto"/>
          <w:highlight w:val="none"/>
          <w:lang w:eastAsia="zh-CN"/>
        </w:rPr>
      </w:pPr>
    </w:p>
    <w:p>
      <w:pPr>
        <w:pStyle w:val="38"/>
        <w:jc w:val="both"/>
        <w:rPr>
          <w:color w:val="auto"/>
          <w:highlight w:val="none"/>
          <w:lang w:eastAsia="zh-CN"/>
        </w:rPr>
      </w:pPr>
    </w:p>
    <w:tbl>
      <w:tblPr>
        <w:tblStyle w:val="14"/>
        <w:tblW w:w="5000" w:type="pct"/>
        <w:tblInd w:w="0" w:type="dxa"/>
        <w:tblLayout w:type="autofit"/>
        <w:tblCellMar>
          <w:top w:w="0" w:type="dxa"/>
          <w:left w:w="108" w:type="dxa"/>
          <w:bottom w:w="0" w:type="dxa"/>
          <w:right w:w="108" w:type="dxa"/>
        </w:tblCellMar>
      </w:tblPr>
      <w:tblGrid>
        <w:gridCol w:w="1199"/>
        <w:gridCol w:w="1453"/>
        <w:gridCol w:w="553"/>
        <w:gridCol w:w="845"/>
        <w:gridCol w:w="1723"/>
        <w:gridCol w:w="1002"/>
        <w:gridCol w:w="508"/>
        <w:gridCol w:w="744"/>
        <w:gridCol w:w="921"/>
      </w:tblGrid>
      <w:tr>
        <w:tblPrEx>
          <w:tblCellMar>
            <w:top w:w="0" w:type="dxa"/>
            <w:left w:w="108" w:type="dxa"/>
            <w:bottom w:w="0" w:type="dxa"/>
            <w:right w:w="108" w:type="dxa"/>
          </w:tblCellMar>
        </w:tblPrEx>
        <w:trPr>
          <w:trHeight w:val="420" w:hRule="atLeast"/>
        </w:trPr>
        <w:tc>
          <w:tcPr>
            <w:tcW w:w="5000" w:type="pct"/>
            <w:gridSpan w:val="9"/>
            <w:tcBorders>
              <w:top w:val="nil"/>
              <w:left w:val="nil"/>
              <w:bottom w:val="nil"/>
              <w:right w:val="nil"/>
            </w:tcBorders>
            <w:shd w:val="clear" w:color="auto" w:fill="auto"/>
          </w:tcPr>
          <w:p>
            <w:pPr>
              <w:jc w:val="center"/>
              <w:textAlignment w:val="center"/>
              <w:rPr>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eastAsia="zh-CN"/>
              </w:rPr>
              <w:t>项 目 支 出 绩 效 目 标 表 ( 和田地区 )</w:t>
            </w:r>
          </w:p>
        </w:tc>
      </w:tr>
      <w:tr>
        <w:tblPrEx>
          <w:tblCellMar>
            <w:top w:w="0" w:type="dxa"/>
            <w:left w:w="108" w:type="dxa"/>
            <w:bottom w:w="0" w:type="dxa"/>
            <w:right w:w="108" w:type="dxa"/>
          </w:tblCellMar>
        </w:tblPrEx>
        <w:trPr>
          <w:trHeight w:val="375" w:hRule="atLeast"/>
        </w:trPr>
        <w:tc>
          <w:tcPr>
            <w:tcW w:w="5000" w:type="pct"/>
            <w:gridSpan w:val="9"/>
            <w:tcBorders>
              <w:top w:val="nil"/>
              <w:left w:val="nil"/>
              <w:bottom w:val="nil"/>
              <w:right w:val="nil"/>
            </w:tcBorders>
            <w:shd w:val="clear" w:color="auto" w:fill="auto"/>
          </w:tcPr>
          <w:p>
            <w:pPr>
              <w:jc w:val="center"/>
              <w:textAlignment w:val="center"/>
              <w:rPr>
                <w:b/>
                <w:bCs/>
                <w:color w:val="auto"/>
                <w:sz w:val="28"/>
                <w:szCs w:val="28"/>
                <w:highlight w:val="none"/>
              </w:rPr>
            </w:pPr>
            <w:r>
              <w:rPr>
                <w:rStyle w:val="25"/>
                <w:rFonts w:hint="eastAsia" w:ascii="仿宋_GB2312" w:hAnsi="仿宋_GB2312" w:eastAsia="仿宋_GB2312" w:cs="仿宋_GB2312"/>
                <w:b w:val="0"/>
                <w:bCs w:val="0"/>
                <w:color w:val="auto"/>
                <w:sz w:val="24"/>
                <w:szCs w:val="24"/>
                <w:highlight w:val="none"/>
                <w:lang w:eastAsia="zh-CN"/>
              </w:rPr>
              <w:t>(2024年)</w:t>
            </w:r>
          </w:p>
        </w:tc>
      </w:tr>
      <w:tr>
        <w:tblPrEx>
          <w:tblCellMar>
            <w:top w:w="0" w:type="dxa"/>
            <w:left w:w="108" w:type="dxa"/>
            <w:bottom w:w="0" w:type="dxa"/>
            <w:right w:w="108" w:type="dxa"/>
          </w:tblCellMar>
        </w:tblPrEx>
        <w:trPr>
          <w:trHeight w:val="585"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预算单位</w:t>
            </w:r>
          </w:p>
        </w:tc>
        <w:tc>
          <w:tcPr>
            <w:tcW w:w="255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新疆维吾尔自治区医疗保障局</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项目名称</w:t>
            </w:r>
          </w:p>
        </w:tc>
        <w:tc>
          <w:tcPr>
            <w:tcW w:w="121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医保能力提升经费</w:t>
            </w:r>
          </w:p>
        </w:tc>
      </w:tr>
      <w:tr>
        <w:tblPrEx>
          <w:tblCellMar>
            <w:top w:w="0" w:type="dxa"/>
            <w:left w:w="108" w:type="dxa"/>
            <w:bottom w:w="0" w:type="dxa"/>
            <w:right w:w="108" w:type="dxa"/>
          </w:tblCellMar>
        </w:tblPrEx>
        <w:trPr>
          <w:trHeight w:val="560"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项目资金</w:t>
            </w:r>
            <w:r>
              <w:rPr>
                <w:rFonts w:hint="eastAsia" w:ascii="仿宋_GB2312" w:eastAsia="仿宋_GB2312" w:cs="仿宋_GB2312"/>
                <w:b/>
                <w:bCs/>
                <w:color w:val="auto"/>
                <w:sz w:val="20"/>
                <w:szCs w:val="20"/>
                <w:highlight w:val="none"/>
                <w:lang w:eastAsia="zh-CN"/>
              </w:rPr>
              <w:br w:type="textWrapping"/>
            </w:r>
            <w:r>
              <w:rPr>
                <w:rFonts w:hint="eastAsia" w:ascii="仿宋_GB2312" w:eastAsia="仿宋_GB2312" w:cs="仿宋_GB2312"/>
                <w:b/>
                <w:bCs/>
                <w:color w:val="auto"/>
                <w:sz w:val="20"/>
                <w:szCs w:val="20"/>
                <w:highlight w:val="none"/>
                <w:lang w:eastAsia="zh-CN"/>
              </w:rPr>
              <w:t>(万元)</w:t>
            </w:r>
          </w:p>
        </w:tc>
        <w:tc>
          <w:tcPr>
            <w:tcW w:w="11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年度资金总额：</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111.3</w:t>
            </w:r>
          </w:p>
        </w:tc>
        <w:tc>
          <w:tcPr>
            <w:tcW w:w="9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其中：财政拨款</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111.3</w:t>
            </w:r>
          </w:p>
        </w:tc>
        <w:tc>
          <w:tcPr>
            <w:tcW w:w="7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b/>
                <w:bCs/>
                <w:color w:val="auto"/>
                <w:sz w:val="20"/>
                <w:szCs w:val="20"/>
                <w:highlight w:val="none"/>
                <w:lang w:eastAsia="zh-CN"/>
              </w:rPr>
              <w:t>其他资金</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0</w:t>
            </w:r>
          </w:p>
        </w:tc>
      </w:tr>
      <w:tr>
        <w:tblPrEx>
          <w:tblCellMar>
            <w:top w:w="0" w:type="dxa"/>
            <w:left w:w="108" w:type="dxa"/>
            <w:bottom w:w="0" w:type="dxa"/>
            <w:right w:w="108" w:type="dxa"/>
          </w:tblCellMar>
        </w:tblPrEx>
        <w:trPr>
          <w:trHeight w:val="386"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项目总体目标</w:t>
            </w:r>
          </w:p>
        </w:tc>
        <w:tc>
          <w:tcPr>
            <w:tcW w:w="432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目标1:组织开展以“岗位练兵优服务，业务比武强规范”为主题的全地区医保经办系统练兵比武活动，通过练兵比武活动，为经办干部搭建补短板、强弱项、比技能的平台。</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2:常态化制度化落实药品耗材集中带量采购，推动医疗服务项目运行监测，建立长效医药集采落实情况、价格和供应监测机制，加强监测点建设，优先选择覆盖面大、信息化水平较好、反映区域内情况的单位作为监测点，逐步延伸至各级医疗机构、零售药店、配送企业，推动集中带量采购落实效果的监测能力提升，提高异常信息发现和处置能力。</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3:加强医疗保障基金使用常态化监管，建立健全监督检查、智能监控、举报奖励、信用管理、综合监管、社会监督长效机制，多措并举织密基金监管网，进一步提升基金监管法制化、专业化、信息化水平，提升监管效能，有效维护医保基金安全；进一步压紧压实基金监管责任，强化医保行政监管责任、经办日常审核检查责任，推动落实定点医药机构医保基金使用主体责任、地方政府属地监管责任。</w:t>
            </w:r>
          </w:p>
        </w:tc>
      </w:tr>
      <w:tr>
        <w:tblPrEx>
          <w:tblCellMar>
            <w:top w:w="0" w:type="dxa"/>
            <w:left w:w="108" w:type="dxa"/>
            <w:bottom w:w="0" w:type="dxa"/>
            <w:right w:w="108" w:type="dxa"/>
          </w:tblCellMar>
        </w:tblPrEx>
        <w:trPr>
          <w:trHeight w:val="610"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一级指标</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二级指标</w:t>
            </w:r>
          </w:p>
        </w:tc>
        <w:tc>
          <w:tcPr>
            <w:tcW w:w="258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三级指标</w:t>
            </w:r>
          </w:p>
        </w:tc>
        <w:tc>
          <w:tcPr>
            <w:tcW w:w="9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lang w:eastAsia="zh-CN"/>
              </w:rPr>
            </w:pPr>
            <w:r>
              <w:rPr>
                <w:rFonts w:hint="eastAsia" w:ascii="仿宋_GB2312" w:eastAsia="仿宋_GB2312" w:cs="仿宋_GB2312"/>
                <w:b/>
                <w:bCs/>
                <w:color w:val="auto"/>
                <w:sz w:val="20"/>
                <w:szCs w:val="20"/>
                <w:highlight w:val="none"/>
                <w:lang w:eastAsia="zh-CN"/>
              </w:rPr>
              <w:t>指标值(包含数字及文字描述)</w:t>
            </w:r>
          </w:p>
        </w:tc>
      </w:tr>
      <w:tr>
        <w:tblPrEx>
          <w:tblCellMar>
            <w:top w:w="0" w:type="dxa"/>
            <w:left w:w="108" w:type="dxa"/>
            <w:bottom w:w="0" w:type="dxa"/>
            <w:right w:w="108" w:type="dxa"/>
          </w:tblCellMar>
        </w:tblPrEx>
        <w:trPr>
          <w:trHeight w:val="680" w:hRule="atLeast"/>
        </w:trPr>
        <w:tc>
          <w:tcPr>
            <w:tcW w:w="6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产出指标</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58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租赁演播厅场地数量</w:t>
            </w:r>
          </w:p>
        </w:tc>
        <w:tc>
          <w:tcPr>
            <w:tcW w:w="9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≥1个</w:t>
            </w:r>
          </w:p>
        </w:tc>
      </w:tr>
      <w:tr>
        <w:tblPrEx>
          <w:tblCellMar>
            <w:top w:w="0" w:type="dxa"/>
            <w:left w:w="108" w:type="dxa"/>
            <w:bottom w:w="0" w:type="dxa"/>
            <w:right w:w="108" w:type="dxa"/>
          </w:tblCellMar>
        </w:tblPrEx>
        <w:trPr>
          <w:trHeight w:val="680" w:hRule="atLeast"/>
        </w:trPr>
        <w:tc>
          <w:tcPr>
            <w:tcW w:w="6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58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练兵比武参赛县市数量</w:t>
            </w:r>
          </w:p>
        </w:tc>
        <w:tc>
          <w:tcPr>
            <w:tcW w:w="9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≥8个</w:t>
            </w:r>
          </w:p>
        </w:tc>
      </w:tr>
      <w:tr>
        <w:tblPrEx>
          <w:tblCellMar>
            <w:top w:w="0" w:type="dxa"/>
            <w:left w:w="108" w:type="dxa"/>
            <w:bottom w:w="0" w:type="dxa"/>
            <w:right w:w="108" w:type="dxa"/>
          </w:tblCellMar>
        </w:tblPrEx>
        <w:trPr>
          <w:trHeight w:val="680" w:hRule="atLeast"/>
        </w:trPr>
        <w:tc>
          <w:tcPr>
            <w:tcW w:w="6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58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召开医药价格工作政策吹风会、宣传活动、调研指导次数</w:t>
            </w:r>
          </w:p>
        </w:tc>
        <w:tc>
          <w:tcPr>
            <w:tcW w:w="9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≥2次</w:t>
            </w:r>
          </w:p>
        </w:tc>
      </w:tr>
      <w:tr>
        <w:tblPrEx>
          <w:tblCellMar>
            <w:top w:w="0" w:type="dxa"/>
            <w:left w:w="108" w:type="dxa"/>
            <w:bottom w:w="0" w:type="dxa"/>
            <w:right w:w="108" w:type="dxa"/>
          </w:tblCellMar>
        </w:tblPrEx>
        <w:trPr>
          <w:trHeight w:val="680" w:hRule="atLeast"/>
        </w:trPr>
        <w:tc>
          <w:tcPr>
            <w:tcW w:w="6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58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召开医药价格工作会议或培训</w:t>
            </w:r>
          </w:p>
        </w:tc>
        <w:tc>
          <w:tcPr>
            <w:tcW w:w="9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≥2次</w:t>
            </w:r>
          </w:p>
        </w:tc>
      </w:tr>
      <w:tr>
        <w:tblPrEx>
          <w:tblCellMar>
            <w:top w:w="0" w:type="dxa"/>
            <w:left w:w="108" w:type="dxa"/>
            <w:bottom w:w="0" w:type="dxa"/>
            <w:right w:w="108" w:type="dxa"/>
          </w:tblCellMar>
        </w:tblPrEx>
        <w:trPr>
          <w:trHeight w:val="680" w:hRule="atLeast"/>
        </w:trPr>
        <w:tc>
          <w:tcPr>
            <w:tcW w:w="6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58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定点医疗机构现场检查覆盖率</w:t>
            </w:r>
          </w:p>
        </w:tc>
        <w:tc>
          <w:tcPr>
            <w:tcW w:w="9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680" w:hRule="atLeast"/>
        </w:trPr>
        <w:tc>
          <w:tcPr>
            <w:tcW w:w="6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58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定点零售药店现场检查覆盖率</w:t>
            </w:r>
          </w:p>
        </w:tc>
        <w:tc>
          <w:tcPr>
            <w:tcW w:w="9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680" w:hRule="atLeast"/>
        </w:trPr>
        <w:tc>
          <w:tcPr>
            <w:tcW w:w="6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58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对辖区内经办机构的抽查数量</w:t>
            </w:r>
          </w:p>
        </w:tc>
        <w:tc>
          <w:tcPr>
            <w:tcW w:w="9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≥30%</w:t>
            </w:r>
          </w:p>
        </w:tc>
      </w:tr>
      <w:tr>
        <w:tblPrEx>
          <w:tblCellMar>
            <w:top w:w="0" w:type="dxa"/>
            <w:left w:w="108" w:type="dxa"/>
            <w:bottom w:w="0" w:type="dxa"/>
            <w:right w:w="108" w:type="dxa"/>
          </w:tblCellMar>
        </w:tblPrEx>
        <w:trPr>
          <w:trHeight w:val="680" w:hRule="atLeast"/>
        </w:trPr>
        <w:tc>
          <w:tcPr>
            <w:tcW w:w="6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质量指标</w:t>
            </w:r>
          </w:p>
        </w:tc>
        <w:tc>
          <w:tcPr>
            <w:tcW w:w="258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购买医药价格监测硬件设施并配备至监测点</w:t>
            </w:r>
          </w:p>
        </w:tc>
        <w:tc>
          <w:tcPr>
            <w:tcW w:w="9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680" w:hRule="atLeast"/>
        </w:trPr>
        <w:tc>
          <w:tcPr>
            <w:tcW w:w="6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质量指标</w:t>
            </w:r>
          </w:p>
        </w:tc>
        <w:tc>
          <w:tcPr>
            <w:tcW w:w="258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按要求落实药品和医用耗材集中带量采购采购和使用工作</w:t>
            </w:r>
          </w:p>
        </w:tc>
        <w:tc>
          <w:tcPr>
            <w:tcW w:w="9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680" w:hRule="atLeast"/>
        </w:trPr>
        <w:tc>
          <w:tcPr>
            <w:tcW w:w="6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质量指标</w:t>
            </w:r>
          </w:p>
        </w:tc>
        <w:tc>
          <w:tcPr>
            <w:tcW w:w="258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经费使用合规率</w:t>
            </w:r>
          </w:p>
        </w:tc>
        <w:tc>
          <w:tcPr>
            <w:tcW w:w="9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=100%</w:t>
            </w:r>
          </w:p>
        </w:tc>
      </w:tr>
      <w:tr>
        <w:tblPrEx>
          <w:tblCellMar>
            <w:top w:w="0" w:type="dxa"/>
            <w:left w:w="108" w:type="dxa"/>
            <w:bottom w:w="0" w:type="dxa"/>
            <w:right w:w="108" w:type="dxa"/>
          </w:tblCellMar>
        </w:tblPrEx>
        <w:trPr>
          <w:trHeight w:val="680" w:hRule="atLeast"/>
        </w:trPr>
        <w:tc>
          <w:tcPr>
            <w:tcW w:w="6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时效指标</w:t>
            </w:r>
          </w:p>
        </w:tc>
        <w:tc>
          <w:tcPr>
            <w:tcW w:w="258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完成年度各类监督检查任务时间(基金监管)</w:t>
            </w:r>
          </w:p>
        </w:tc>
        <w:tc>
          <w:tcPr>
            <w:tcW w:w="9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2024年12月31日前</w:t>
            </w:r>
          </w:p>
        </w:tc>
      </w:tr>
      <w:tr>
        <w:tblPrEx>
          <w:tblCellMar>
            <w:top w:w="0" w:type="dxa"/>
            <w:left w:w="108" w:type="dxa"/>
            <w:bottom w:w="0" w:type="dxa"/>
            <w:right w:w="108" w:type="dxa"/>
          </w:tblCellMar>
        </w:tblPrEx>
        <w:trPr>
          <w:trHeight w:val="680" w:hRule="atLeast"/>
        </w:trPr>
        <w:tc>
          <w:tcPr>
            <w:tcW w:w="6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成本指标</w:t>
            </w:r>
          </w:p>
        </w:tc>
        <w:tc>
          <w:tcPr>
            <w:tcW w:w="258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医保能力提升经费(基金监管)</w:t>
            </w:r>
          </w:p>
        </w:tc>
        <w:tc>
          <w:tcPr>
            <w:tcW w:w="9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≤60万元</w:t>
            </w:r>
          </w:p>
        </w:tc>
      </w:tr>
      <w:tr>
        <w:tblPrEx>
          <w:tblCellMar>
            <w:top w:w="0" w:type="dxa"/>
            <w:left w:w="108" w:type="dxa"/>
            <w:bottom w:w="0" w:type="dxa"/>
            <w:right w:w="108" w:type="dxa"/>
          </w:tblCellMar>
        </w:tblPrEx>
        <w:trPr>
          <w:trHeight w:val="680"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效益指标</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可持续影响指标</w:t>
            </w:r>
          </w:p>
        </w:tc>
        <w:tc>
          <w:tcPr>
            <w:tcW w:w="258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区域联盟议价采购药品、医用耗材执行期</w:t>
            </w:r>
          </w:p>
        </w:tc>
        <w:tc>
          <w:tcPr>
            <w:tcW w:w="9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≥2年</w:t>
            </w:r>
          </w:p>
        </w:tc>
      </w:tr>
      <w:tr>
        <w:tblPrEx>
          <w:tblCellMar>
            <w:top w:w="0" w:type="dxa"/>
            <w:left w:w="108" w:type="dxa"/>
            <w:bottom w:w="0" w:type="dxa"/>
            <w:right w:w="108" w:type="dxa"/>
          </w:tblCellMar>
        </w:tblPrEx>
        <w:trPr>
          <w:trHeight w:val="680" w:hRule="atLeast"/>
        </w:trPr>
        <w:tc>
          <w:tcPr>
            <w:tcW w:w="6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258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经办机构满意度</w:t>
            </w:r>
          </w:p>
        </w:tc>
        <w:tc>
          <w:tcPr>
            <w:tcW w:w="9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≥90%</w:t>
            </w:r>
          </w:p>
        </w:tc>
      </w:tr>
      <w:tr>
        <w:tblPrEx>
          <w:tblCellMar>
            <w:top w:w="0" w:type="dxa"/>
            <w:left w:w="108" w:type="dxa"/>
            <w:bottom w:w="0" w:type="dxa"/>
            <w:right w:w="108" w:type="dxa"/>
          </w:tblCellMar>
        </w:tblPrEx>
        <w:trPr>
          <w:trHeight w:val="680" w:hRule="atLeast"/>
        </w:trPr>
        <w:tc>
          <w:tcPr>
            <w:tcW w:w="6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258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参赛县市满意度</w:t>
            </w:r>
          </w:p>
        </w:tc>
        <w:tc>
          <w:tcPr>
            <w:tcW w:w="9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≥90%</w:t>
            </w:r>
          </w:p>
        </w:tc>
      </w:tr>
    </w:tbl>
    <w:p>
      <w:pPr>
        <w:pStyle w:val="38"/>
        <w:jc w:val="both"/>
        <w:rPr>
          <w:color w:val="auto"/>
          <w:highlight w:val="none"/>
          <w:lang w:eastAsia="zh-CN"/>
        </w:rPr>
      </w:pPr>
    </w:p>
    <w:p>
      <w:pPr>
        <w:pStyle w:val="38"/>
        <w:jc w:val="both"/>
        <w:rPr>
          <w:color w:val="auto"/>
          <w:highlight w:val="none"/>
          <w:lang w:eastAsia="zh-CN"/>
        </w:rPr>
      </w:pPr>
    </w:p>
    <w:tbl>
      <w:tblPr>
        <w:tblStyle w:val="14"/>
        <w:tblW w:w="5000" w:type="pct"/>
        <w:tblInd w:w="0" w:type="dxa"/>
        <w:tblLayout w:type="autofit"/>
        <w:tblCellMar>
          <w:top w:w="0" w:type="dxa"/>
          <w:left w:w="108" w:type="dxa"/>
          <w:bottom w:w="0" w:type="dxa"/>
          <w:right w:w="108" w:type="dxa"/>
        </w:tblCellMar>
      </w:tblPr>
      <w:tblGrid>
        <w:gridCol w:w="1240"/>
        <w:gridCol w:w="1324"/>
        <w:gridCol w:w="483"/>
        <w:gridCol w:w="823"/>
        <w:gridCol w:w="1442"/>
        <w:gridCol w:w="838"/>
        <w:gridCol w:w="850"/>
        <w:gridCol w:w="594"/>
        <w:gridCol w:w="1354"/>
      </w:tblGrid>
      <w:tr>
        <w:tblPrEx>
          <w:tblCellMar>
            <w:top w:w="0" w:type="dxa"/>
            <w:left w:w="108" w:type="dxa"/>
            <w:bottom w:w="0" w:type="dxa"/>
            <w:right w:w="108" w:type="dxa"/>
          </w:tblCellMar>
        </w:tblPrEx>
        <w:trPr>
          <w:trHeight w:val="23" w:hRule="atLeast"/>
        </w:trPr>
        <w:tc>
          <w:tcPr>
            <w:tcW w:w="5000" w:type="pct"/>
            <w:gridSpan w:val="9"/>
            <w:tcBorders>
              <w:top w:val="nil"/>
              <w:left w:val="nil"/>
              <w:bottom w:val="nil"/>
              <w:right w:val="nil"/>
            </w:tcBorders>
            <w:shd w:val="clear" w:color="auto" w:fill="auto"/>
          </w:tcPr>
          <w:p>
            <w:pPr>
              <w:jc w:val="center"/>
              <w:textAlignment w:val="center"/>
              <w:rPr>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eastAsia="zh-CN"/>
              </w:rPr>
              <w:t>项 目 支 出 绩 效 目 标 表 ( 吐鲁番市 )</w:t>
            </w:r>
          </w:p>
        </w:tc>
      </w:tr>
      <w:tr>
        <w:tblPrEx>
          <w:tblCellMar>
            <w:top w:w="0" w:type="dxa"/>
            <w:left w:w="108" w:type="dxa"/>
            <w:bottom w:w="0" w:type="dxa"/>
            <w:right w:w="108" w:type="dxa"/>
          </w:tblCellMar>
        </w:tblPrEx>
        <w:trPr>
          <w:trHeight w:val="23" w:hRule="atLeast"/>
        </w:trPr>
        <w:tc>
          <w:tcPr>
            <w:tcW w:w="5000" w:type="pct"/>
            <w:gridSpan w:val="9"/>
            <w:tcBorders>
              <w:top w:val="nil"/>
              <w:left w:val="nil"/>
              <w:bottom w:val="nil"/>
              <w:right w:val="nil"/>
            </w:tcBorders>
            <w:shd w:val="clear" w:color="auto" w:fill="auto"/>
          </w:tcPr>
          <w:p>
            <w:pPr>
              <w:jc w:val="center"/>
              <w:textAlignment w:val="center"/>
              <w:rPr>
                <w:b/>
                <w:bCs/>
                <w:color w:val="auto"/>
                <w:sz w:val="28"/>
                <w:szCs w:val="28"/>
                <w:highlight w:val="none"/>
              </w:rPr>
            </w:pPr>
            <w:r>
              <w:rPr>
                <w:rStyle w:val="25"/>
                <w:rFonts w:hint="eastAsia" w:ascii="仿宋_GB2312" w:hAnsi="仿宋_GB2312" w:eastAsia="仿宋_GB2312" w:cs="仿宋_GB2312"/>
                <w:b w:val="0"/>
                <w:bCs w:val="0"/>
                <w:color w:val="auto"/>
                <w:sz w:val="24"/>
                <w:szCs w:val="24"/>
                <w:highlight w:val="none"/>
                <w:lang w:eastAsia="zh-CN"/>
              </w:rPr>
              <w:t>(2024年)</w:t>
            </w:r>
          </w:p>
        </w:tc>
      </w:tr>
      <w:tr>
        <w:tblPrEx>
          <w:tblCellMar>
            <w:top w:w="0" w:type="dxa"/>
            <w:left w:w="108" w:type="dxa"/>
            <w:bottom w:w="0" w:type="dxa"/>
            <w:right w:w="108" w:type="dxa"/>
          </w:tblCellMar>
        </w:tblPrEx>
        <w:trPr>
          <w:trHeight w:val="23" w:hRule="atLeast"/>
        </w:trPr>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预算单位</w:t>
            </w:r>
          </w:p>
        </w:tc>
        <w:tc>
          <w:tcPr>
            <w:tcW w:w="227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新疆维吾尔自治区医疗保障局</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项目名称</w:t>
            </w:r>
          </w:p>
        </w:tc>
        <w:tc>
          <w:tcPr>
            <w:tcW w:w="15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医保能力提升经费</w:t>
            </w:r>
          </w:p>
        </w:tc>
      </w:tr>
      <w:tr>
        <w:tblPrEx>
          <w:tblCellMar>
            <w:top w:w="0" w:type="dxa"/>
            <w:left w:w="108" w:type="dxa"/>
            <w:bottom w:w="0" w:type="dxa"/>
            <w:right w:w="108" w:type="dxa"/>
          </w:tblCellMar>
        </w:tblPrEx>
        <w:trPr>
          <w:trHeight w:val="23" w:hRule="atLeast"/>
        </w:trPr>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项目资金</w:t>
            </w:r>
            <w:r>
              <w:rPr>
                <w:rFonts w:hint="eastAsia" w:ascii="仿宋_GB2312" w:eastAsia="仿宋_GB2312" w:cs="仿宋_GB2312"/>
                <w:b/>
                <w:bCs/>
                <w:color w:val="auto"/>
                <w:sz w:val="20"/>
                <w:szCs w:val="20"/>
                <w:highlight w:val="none"/>
                <w:lang w:eastAsia="zh-CN"/>
              </w:rPr>
              <w:br w:type="textWrapping"/>
            </w:r>
            <w:r>
              <w:rPr>
                <w:rFonts w:hint="eastAsia" w:ascii="仿宋_GB2312" w:eastAsia="仿宋_GB2312" w:cs="仿宋_GB2312"/>
                <w:b/>
                <w:bCs/>
                <w:color w:val="auto"/>
                <w:sz w:val="20"/>
                <w:szCs w:val="20"/>
                <w:highlight w:val="none"/>
                <w:lang w:eastAsia="zh-CN"/>
              </w:rPr>
              <w:t xml:space="preserve">  (万元)</w:t>
            </w:r>
          </w:p>
        </w:tc>
        <w:tc>
          <w:tcPr>
            <w:tcW w:w="10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年度资金总额：</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137.7</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其中：财政拨款</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137.7</w:t>
            </w:r>
          </w:p>
        </w:tc>
        <w:tc>
          <w:tcPr>
            <w:tcW w:w="80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其他资金</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0</w:t>
            </w:r>
          </w:p>
        </w:tc>
      </w:tr>
      <w:tr>
        <w:tblPrEx>
          <w:tblCellMar>
            <w:top w:w="0" w:type="dxa"/>
            <w:left w:w="108" w:type="dxa"/>
            <w:bottom w:w="0" w:type="dxa"/>
            <w:right w:w="108" w:type="dxa"/>
          </w:tblCellMar>
        </w:tblPrEx>
        <w:trPr>
          <w:trHeight w:val="23" w:hRule="atLeast"/>
        </w:trPr>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项目总体目标</w:t>
            </w:r>
          </w:p>
        </w:tc>
        <w:tc>
          <w:tcPr>
            <w:tcW w:w="430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目标1:组织开展以“岗位练兵优服务，业务比武强规范”为主题的全地区医保经办系统练兵比武活动，通过练兵比武活动，为经办干部搭建补短板、强弱项、比技能的平台。</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2:常态化制度化落实药品耗材集中带量采购，推动医疗服务项目运行监测，建立长效医药集采落实情况、价格和供应监测机制，加强监测点建设，优先选择覆盖面大、信息化水平较好、反映区域内情况的单位作为监测点，逐步延伸至各级医疗机构、零售药店、配送企业，推动集中带量采购落实效果的监测能力提升，提高异常信息发现和处置能力。</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3:根据自治区DRG/DIP支付方式改革三年行动计划部署要求，逐步提高统筹地区、医疗机构、病种分组、医保基金覆盖率。统筹地区医疗机构覆盖面：2024年底实现全覆盖。:统筹地区病种覆盖面：2024年底实现入组率达到90%以上。统筹地区医保基金总额预算覆盖率：2024年底不低于70%。</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4:加强医疗保障基金使用常态化监管，建立健全监督检查、智能监控、举报奖励、信用管理、综合监管、社会监督长效机制，多措并举织密基金监管网，进一步提升基金监管法制化、专业化、信息化水平，提升监管效能，有效维护医保基金安全；进一步压紧压实基金监管责任，强化医保行政监管责任、经办日常审核检查责任，推动落实定点医药机构医保基金使用主体责任、地方政府属地监管责任。</w:t>
            </w:r>
          </w:p>
        </w:tc>
      </w:tr>
      <w:tr>
        <w:tblPrEx>
          <w:tblCellMar>
            <w:top w:w="0" w:type="dxa"/>
            <w:left w:w="108" w:type="dxa"/>
            <w:bottom w:w="0" w:type="dxa"/>
            <w:right w:w="108" w:type="dxa"/>
          </w:tblCellMar>
        </w:tblPrEx>
        <w:trPr>
          <w:trHeight w:val="23" w:hRule="atLeast"/>
        </w:trPr>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一级指标</w:t>
            </w:r>
          </w:p>
        </w:tc>
        <w:tc>
          <w:tcPr>
            <w:tcW w:w="7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二级指标</w:t>
            </w:r>
          </w:p>
        </w:tc>
        <w:tc>
          <w:tcPr>
            <w:tcW w:w="24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三级指标</w:t>
            </w:r>
          </w:p>
        </w:tc>
        <w:tc>
          <w:tcPr>
            <w:tcW w:w="10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lang w:eastAsia="zh-CN"/>
              </w:rPr>
            </w:pPr>
            <w:r>
              <w:rPr>
                <w:rFonts w:hint="eastAsia" w:ascii="仿宋_GB2312" w:eastAsia="仿宋_GB2312" w:cs="仿宋_GB2312"/>
                <w:b/>
                <w:bCs/>
                <w:color w:val="auto"/>
                <w:sz w:val="20"/>
                <w:szCs w:val="20"/>
                <w:highlight w:val="none"/>
                <w:lang w:eastAsia="zh-CN"/>
              </w:rPr>
              <w:t>指标值(包含数字及文字描述)</w:t>
            </w:r>
          </w:p>
        </w:tc>
      </w:tr>
      <w:tr>
        <w:tblPrEx>
          <w:tblCellMar>
            <w:top w:w="0" w:type="dxa"/>
            <w:left w:w="108" w:type="dxa"/>
            <w:bottom w:w="0" w:type="dxa"/>
            <w:right w:w="108" w:type="dxa"/>
          </w:tblCellMar>
        </w:tblPrEx>
        <w:trPr>
          <w:trHeight w:val="550" w:hRule="atLeast"/>
        </w:trPr>
        <w:tc>
          <w:tcPr>
            <w:tcW w:w="6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产出指标</w:t>
            </w:r>
          </w:p>
        </w:tc>
        <w:tc>
          <w:tcPr>
            <w:tcW w:w="7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租赁演播厅场地数量</w:t>
            </w:r>
          </w:p>
        </w:tc>
        <w:tc>
          <w:tcPr>
            <w:tcW w:w="10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≥1个</w:t>
            </w:r>
          </w:p>
        </w:tc>
      </w:tr>
      <w:tr>
        <w:tblPrEx>
          <w:tblCellMar>
            <w:top w:w="0" w:type="dxa"/>
            <w:left w:w="108" w:type="dxa"/>
            <w:bottom w:w="0" w:type="dxa"/>
            <w:right w:w="108" w:type="dxa"/>
          </w:tblCellMar>
        </w:tblPrEx>
        <w:trPr>
          <w:trHeight w:val="550" w:hRule="atLeast"/>
        </w:trPr>
        <w:tc>
          <w:tcPr>
            <w:tcW w:w="6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24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练兵比武参赛区县数量</w:t>
            </w:r>
          </w:p>
        </w:tc>
        <w:tc>
          <w:tcPr>
            <w:tcW w:w="10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≥3个</w:t>
            </w:r>
          </w:p>
        </w:tc>
      </w:tr>
      <w:tr>
        <w:tblPrEx>
          <w:tblCellMar>
            <w:top w:w="0" w:type="dxa"/>
            <w:left w:w="108" w:type="dxa"/>
            <w:bottom w:w="0" w:type="dxa"/>
            <w:right w:w="108" w:type="dxa"/>
          </w:tblCellMar>
        </w:tblPrEx>
        <w:trPr>
          <w:trHeight w:val="550" w:hRule="atLeast"/>
        </w:trPr>
        <w:tc>
          <w:tcPr>
            <w:tcW w:w="6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召开医药价格工作政策吹风会、宣传活动、调研指导次数</w:t>
            </w:r>
          </w:p>
        </w:tc>
        <w:tc>
          <w:tcPr>
            <w:tcW w:w="10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≥2次</w:t>
            </w:r>
          </w:p>
        </w:tc>
      </w:tr>
      <w:tr>
        <w:tblPrEx>
          <w:tblCellMar>
            <w:top w:w="0" w:type="dxa"/>
            <w:left w:w="108" w:type="dxa"/>
            <w:bottom w:w="0" w:type="dxa"/>
            <w:right w:w="108" w:type="dxa"/>
          </w:tblCellMar>
        </w:tblPrEx>
        <w:trPr>
          <w:trHeight w:val="550" w:hRule="atLeast"/>
        </w:trPr>
        <w:tc>
          <w:tcPr>
            <w:tcW w:w="6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召开医药价格工作会议或培训</w:t>
            </w:r>
          </w:p>
        </w:tc>
        <w:tc>
          <w:tcPr>
            <w:tcW w:w="10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≥2次</w:t>
            </w:r>
          </w:p>
        </w:tc>
      </w:tr>
      <w:tr>
        <w:tblPrEx>
          <w:tblCellMar>
            <w:top w:w="0" w:type="dxa"/>
            <w:left w:w="108" w:type="dxa"/>
            <w:bottom w:w="0" w:type="dxa"/>
            <w:right w:w="108" w:type="dxa"/>
          </w:tblCellMar>
        </w:tblPrEx>
        <w:trPr>
          <w:trHeight w:val="550" w:hRule="atLeast"/>
        </w:trPr>
        <w:tc>
          <w:tcPr>
            <w:tcW w:w="6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2024年底实现统筹地区病种覆盖入组率</w:t>
            </w:r>
          </w:p>
        </w:tc>
        <w:tc>
          <w:tcPr>
            <w:tcW w:w="10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≥90%</w:t>
            </w:r>
          </w:p>
        </w:tc>
      </w:tr>
      <w:tr>
        <w:tblPrEx>
          <w:tblCellMar>
            <w:top w:w="0" w:type="dxa"/>
            <w:left w:w="108" w:type="dxa"/>
            <w:bottom w:w="0" w:type="dxa"/>
            <w:right w:w="108" w:type="dxa"/>
          </w:tblCellMar>
        </w:tblPrEx>
        <w:trPr>
          <w:trHeight w:val="550" w:hRule="atLeast"/>
        </w:trPr>
        <w:tc>
          <w:tcPr>
            <w:tcW w:w="6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定点医疗机构现场检查覆盖率</w:t>
            </w:r>
          </w:p>
        </w:tc>
        <w:tc>
          <w:tcPr>
            <w:tcW w:w="10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550" w:hRule="atLeast"/>
        </w:trPr>
        <w:tc>
          <w:tcPr>
            <w:tcW w:w="6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4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定点零售药店现场检查覆盖率</w:t>
            </w:r>
          </w:p>
        </w:tc>
        <w:tc>
          <w:tcPr>
            <w:tcW w:w="10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550" w:hRule="atLeast"/>
        </w:trPr>
        <w:tc>
          <w:tcPr>
            <w:tcW w:w="6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质量指标</w:t>
            </w:r>
          </w:p>
        </w:tc>
        <w:tc>
          <w:tcPr>
            <w:tcW w:w="24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购买医药价格监测硬件设施并配备至监测点</w:t>
            </w:r>
          </w:p>
        </w:tc>
        <w:tc>
          <w:tcPr>
            <w:tcW w:w="10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550" w:hRule="atLeast"/>
        </w:trPr>
        <w:tc>
          <w:tcPr>
            <w:tcW w:w="6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时效指标</w:t>
            </w:r>
          </w:p>
        </w:tc>
        <w:tc>
          <w:tcPr>
            <w:tcW w:w="24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完成年度各类监督检查任务时间(基金监管)</w:t>
            </w:r>
          </w:p>
        </w:tc>
        <w:tc>
          <w:tcPr>
            <w:tcW w:w="10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2024年12月31日前</w:t>
            </w:r>
          </w:p>
        </w:tc>
      </w:tr>
      <w:tr>
        <w:tblPrEx>
          <w:tblCellMar>
            <w:top w:w="0" w:type="dxa"/>
            <w:left w:w="108" w:type="dxa"/>
            <w:bottom w:w="0" w:type="dxa"/>
            <w:right w:w="108" w:type="dxa"/>
          </w:tblCellMar>
        </w:tblPrEx>
        <w:trPr>
          <w:trHeight w:val="550" w:hRule="atLeast"/>
        </w:trPr>
        <w:tc>
          <w:tcPr>
            <w:tcW w:w="6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成本指标</w:t>
            </w:r>
          </w:p>
        </w:tc>
        <w:tc>
          <w:tcPr>
            <w:tcW w:w="24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DRG支付方式改革能力提升经费</w:t>
            </w:r>
          </w:p>
        </w:tc>
        <w:tc>
          <w:tcPr>
            <w:tcW w:w="10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≤50万元</w:t>
            </w:r>
          </w:p>
        </w:tc>
      </w:tr>
      <w:tr>
        <w:tblPrEx>
          <w:tblCellMar>
            <w:top w:w="0" w:type="dxa"/>
            <w:left w:w="108" w:type="dxa"/>
            <w:bottom w:w="0" w:type="dxa"/>
            <w:right w:w="108" w:type="dxa"/>
          </w:tblCellMar>
        </w:tblPrEx>
        <w:trPr>
          <w:trHeight w:val="550" w:hRule="atLeast"/>
        </w:trPr>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效益指标</w:t>
            </w:r>
          </w:p>
        </w:tc>
        <w:tc>
          <w:tcPr>
            <w:tcW w:w="7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可持续影响指标</w:t>
            </w:r>
          </w:p>
        </w:tc>
        <w:tc>
          <w:tcPr>
            <w:tcW w:w="24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区域联盟议价采购药品、医用耗材执行期</w:t>
            </w:r>
          </w:p>
        </w:tc>
        <w:tc>
          <w:tcPr>
            <w:tcW w:w="10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≥2年</w:t>
            </w:r>
          </w:p>
        </w:tc>
      </w:tr>
      <w:tr>
        <w:tblPrEx>
          <w:tblCellMar>
            <w:top w:w="0" w:type="dxa"/>
            <w:left w:w="108" w:type="dxa"/>
            <w:bottom w:w="0" w:type="dxa"/>
            <w:right w:w="108" w:type="dxa"/>
          </w:tblCellMar>
        </w:tblPrEx>
        <w:trPr>
          <w:trHeight w:val="550" w:hRule="atLeast"/>
        </w:trPr>
        <w:tc>
          <w:tcPr>
            <w:tcW w:w="6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7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24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经办机构满意度</w:t>
            </w:r>
          </w:p>
        </w:tc>
        <w:tc>
          <w:tcPr>
            <w:tcW w:w="10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≥90%</w:t>
            </w:r>
          </w:p>
        </w:tc>
      </w:tr>
      <w:tr>
        <w:tblPrEx>
          <w:tblCellMar>
            <w:top w:w="0" w:type="dxa"/>
            <w:left w:w="108" w:type="dxa"/>
            <w:bottom w:w="0" w:type="dxa"/>
            <w:right w:w="108" w:type="dxa"/>
          </w:tblCellMar>
        </w:tblPrEx>
        <w:trPr>
          <w:trHeight w:val="550" w:hRule="atLeast"/>
        </w:trPr>
        <w:tc>
          <w:tcPr>
            <w:tcW w:w="6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24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参赛区县满意度</w:t>
            </w:r>
          </w:p>
        </w:tc>
        <w:tc>
          <w:tcPr>
            <w:tcW w:w="10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≥90%</w:t>
            </w:r>
          </w:p>
        </w:tc>
      </w:tr>
    </w:tbl>
    <w:p>
      <w:pPr>
        <w:rPr>
          <w:color w:val="auto"/>
          <w:highlight w:val="none"/>
          <w:lang w:eastAsia="zh-CN"/>
        </w:rPr>
      </w:pPr>
    </w:p>
    <w:p>
      <w:pPr>
        <w:pStyle w:val="38"/>
        <w:jc w:val="both"/>
        <w:rPr>
          <w:color w:val="auto"/>
          <w:highlight w:val="none"/>
          <w:lang w:eastAsia="zh-CN"/>
        </w:rPr>
      </w:pPr>
    </w:p>
    <w:tbl>
      <w:tblPr>
        <w:tblStyle w:val="14"/>
        <w:tblW w:w="5000" w:type="pct"/>
        <w:tblInd w:w="0" w:type="dxa"/>
        <w:tblLayout w:type="autofit"/>
        <w:tblCellMar>
          <w:top w:w="0" w:type="dxa"/>
          <w:left w:w="108" w:type="dxa"/>
          <w:bottom w:w="0" w:type="dxa"/>
          <w:right w:w="108" w:type="dxa"/>
        </w:tblCellMar>
      </w:tblPr>
      <w:tblGrid>
        <w:gridCol w:w="1159"/>
        <w:gridCol w:w="1425"/>
        <w:gridCol w:w="224"/>
        <w:gridCol w:w="648"/>
        <w:gridCol w:w="1702"/>
        <w:gridCol w:w="965"/>
        <w:gridCol w:w="1136"/>
        <w:gridCol w:w="456"/>
        <w:gridCol w:w="1233"/>
      </w:tblGrid>
      <w:tr>
        <w:tblPrEx>
          <w:tblCellMar>
            <w:top w:w="0" w:type="dxa"/>
            <w:left w:w="108" w:type="dxa"/>
            <w:bottom w:w="0" w:type="dxa"/>
            <w:right w:w="108" w:type="dxa"/>
          </w:tblCellMar>
        </w:tblPrEx>
        <w:trPr>
          <w:trHeight w:val="23" w:hRule="atLeast"/>
        </w:trPr>
        <w:tc>
          <w:tcPr>
            <w:tcW w:w="5000" w:type="pct"/>
            <w:gridSpan w:val="9"/>
            <w:tcBorders>
              <w:top w:val="nil"/>
              <w:left w:val="nil"/>
              <w:bottom w:val="nil"/>
              <w:right w:val="nil"/>
            </w:tcBorders>
            <w:shd w:val="clear" w:color="auto" w:fill="auto"/>
          </w:tcPr>
          <w:p>
            <w:pPr>
              <w:jc w:val="center"/>
              <w:textAlignment w:val="center"/>
              <w:rPr>
                <w:rFonts w:ascii="仿宋_GB2312" w:eastAsia="仿宋_GB2312" w:cs="仿宋_GB2312"/>
                <w:b/>
                <w:bCs/>
                <w:color w:val="auto"/>
                <w:sz w:val="28"/>
                <w:szCs w:val="28"/>
                <w:highlight w:val="none"/>
                <w:lang w:eastAsia="zh-CN"/>
              </w:rPr>
            </w:pPr>
            <w:r>
              <w:rPr>
                <w:rFonts w:hint="eastAsia" w:ascii="仿宋_GB2312" w:hAnsi="仿宋_GB2312" w:eastAsia="仿宋_GB2312" w:cs="仿宋_GB2312"/>
                <w:b/>
                <w:bCs/>
                <w:color w:val="auto"/>
                <w:sz w:val="32"/>
                <w:szCs w:val="32"/>
                <w:highlight w:val="none"/>
                <w:lang w:eastAsia="zh-CN"/>
              </w:rPr>
              <w:t>项 目 支 出 绩 效 目 标 表 ( 哈密市 )</w:t>
            </w:r>
          </w:p>
        </w:tc>
      </w:tr>
      <w:tr>
        <w:tblPrEx>
          <w:tblCellMar>
            <w:top w:w="0" w:type="dxa"/>
            <w:left w:w="108" w:type="dxa"/>
            <w:bottom w:w="0" w:type="dxa"/>
            <w:right w:w="108" w:type="dxa"/>
          </w:tblCellMar>
        </w:tblPrEx>
        <w:trPr>
          <w:trHeight w:val="288" w:hRule="atLeast"/>
        </w:trPr>
        <w:tc>
          <w:tcPr>
            <w:tcW w:w="5000" w:type="pct"/>
            <w:gridSpan w:val="9"/>
            <w:tcBorders>
              <w:top w:val="nil"/>
              <w:left w:val="nil"/>
              <w:bottom w:val="nil"/>
              <w:right w:val="nil"/>
            </w:tcBorders>
            <w:shd w:val="clear" w:color="auto" w:fill="auto"/>
          </w:tcPr>
          <w:p>
            <w:pPr>
              <w:jc w:val="center"/>
              <w:textAlignment w:val="center"/>
              <w:rPr>
                <w:rFonts w:ascii="仿宋_GB2312" w:eastAsia="仿宋_GB2312" w:cs="仿宋_GB2312"/>
                <w:b/>
                <w:bCs/>
                <w:color w:val="auto"/>
                <w:sz w:val="20"/>
                <w:szCs w:val="20"/>
                <w:highlight w:val="none"/>
              </w:rPr>
            </w:pPr>
            <w:r>
              <w:rPr>
                <w:rStyle w:val="25"/>
                <w:rFonts w:hAnsi="仿宋_GB2312"/>
                <w:b w:val="0"/>
                <w:bCs w:val="0"/>
                <w:color w:val="auto"/>
                <w:sz w:val="24"/>
                <w:szCs w:val="24"/>
                <w:highlight w:val="none"/>
              </w:rPr>
              <w:t>(2024年)</w:t>
            </w:r>
          </w:p>
        </w:tc>
      </w:tr>
      <w:tr>
        <w:tblPrEx>
          <w:tblCellMar>
            <w:top w:w="0" w:type="dxa"/>
            <w:left w:w="108" w:type="dxa"/>
            <w:bottom w:w="0" w:type="dxa"/>
            <w:right w:w="108" w:type="dxa"/>
          </w:tblCellMar>
        </w:tblPrEx>
        <w:trPr>
          <w:trHeight w:val="23" w:hRule="atLeast"/>
        </w:trPr>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预算单位</w:t>
            </w:r>
          </w:p>
        </w:tc>
        <w:tc>
          <w:tcPr>
            <w:tcW w:w="223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新疆维吾尔自治区医疗保障局</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项目名称</w:t>
            </w:r>
          </w:p>
        </w:tc>
        <w:tc>
          <w:tcPr>
            <w:tcW w:w="157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医保能力提升经费</w:t>
            </w:r>
          </w:p>
        </w:tc>
      </w:tr>
      <w:tr>
        <w:tblPrEx>
          <w:tblCellMar>
            <w:top w:w="0" w:type="dxa"/>
            <w:left w:w="108" w:type="dxa"/>
            <w:bottom w:w="0" w:type="dxa"/>
            <w:right w:w="108" w:type="dxa"/>
          </w:tblCellMar>
        </w:tblPrEx>
        <w:trPr>
          <w:trHeight w:val="23" w:hRule="atLeast"/>
        </w:trPr>
        <w:tc>
          <w:tcPr>
            <w:tcW w:w="648" w:type="pct"/>
            <w:tcBorders>
              <w:top w:val="single" w:color="000000" w:sz="4" w:space="0"/>
              <w:left w:val="single" w:color="000000" w:sz="4" w:space="0"/>
              <w:bottom w:val="single" w:color="000000" w:sz="4" w:space="0"/>
              <w:right w:val="single" w:color="000000" w:sz="4" w:space="0"/>
            </w:tcBorders>
            <w:shd w:val="clear" w:color="auto" w:fill="auto"/>
          </w:tcPr>
          <w:p>
            <w:pPr>
              <w:jc w:val="center"/>
              <w:textAlignment w:val="top"/>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项目资金</w:t>
            </w:r>
            <w:r>
              <w:rPr>
                <w:rFonts w:hint="eastAsia" w:ascii="仿宋_GB2312" w:eastAsia="仿宋_GB2312" w:cs="仿宋_GB2312"/>
                <w:b/>
                <w:bCs/>
                <w:color w:val="auto"/>
                <w:sz w:val="20"/>
                <w:szCs w:val="20"/>
                <w:highlight w:val="none"/>
                <w:lang w:eastAsia="zh-CN"/>
              </w:rPr>
              <w:br w:type="textWrapping"/>
            </w:r>
            <w:r>
              <w:rPr>
                <w:rFonts w:hint="eastAsia" w:ascii="仿宋_GB2312" w:eastAsia="仿宋_GB2312" w:cs="仿宋_GB2312"/>
                <w:b/>
                <w:bCs/>
                <w:color w:val="auto"/>
                <w:sz w:val="20"/>
                <w:szCs w:val="20"/>
                <w:highlight w:val="none"/>
                <w:lang w:eastAsia="zh-CN"/>
              </w:rPr>
              <w:t>(万元)</w:t>
            </w:r>
          </w:p>
        </w:tc>
        <w:tc>
          <w:tcPr>
            <w:tcW w:w="92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年度资金总额：</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119</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其中：财政拨款</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119</w:t>
            </w:r>
          </w:p>
        </w:tc>
        <w:tc>
          <w:tcPr>
            <w:tcW w:w="89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其他资金</w:t>
            </w:r>
          </w:p>
        </w:tc>
        <w:tc>
          <w:tcPr>
            <w:tcW w:w="6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0</w:t>
            </w:r>
          </w:p>
        </w:tc>
      </w:tr>
      <w:tr>
        <w:tblPrEx>
          <w:tblCellMar>
            <w:top w:w="0" w:type="dxa"/>
            <w:left w:w="108" w:type="dxa"/>
            <w:bottom w:w="0" w:type="dxa"/>
            <w:right w:w="108" w:type="dxa"/>
          </w:tblCellMar>
        </w:tblPrEx>
        <w:trPr>
          <w:trHeight w:val="23" w:hRule="atLeast"/>
        </w:trPr>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项目总体</w:t>
            </w:r>
            <w:r>
              <w:rPr>
                <w:rFonts w:hint="eastAsia" w:ascii="仿宋_GB2312" w:eastAsia="仿宋_GB2312" w:cs="仿宋_GB2312"/>
                <w:b/>
                <w:bCs/>
                <w:color w:val="auto"/>
                <w:sz w:val="20"/>
                <w:szCs w:val="20"/>
                <w:highlight w:val="none"/>
                <w:lang w:eastAsia="zh-CN"/>
              </w:rPr>
              <w:br w:type="textWrapping"/>
            </w:r>
            <w:r>
              <w:rPr>
                <w:rFonts w:hint="eastAsia" w:ascii="仿宋_GB2312" w:eastAsia="仿宋_GB2312" w:cs="仿宋_GB2312"/>
                <w:b/>
                <w:bCs/>
                <w:color w:val="auto"/>
                <w:sz w:val="20"/>
                <w:szCs w:val="20"/>
                <w:highlight w:val="none"/>
                <w:lang w:eastAsia="zh-CN"/>
              </w:rPr>
              <w:t>目标</w:t>
            </w:r>
          </w:p>
        </w:tc>
        <w:tc>
          <w:tcPr>
            <w:tcW w:w="4351"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目标1:组织开展以“岗位练兵优服务，业务比武强规范”为主题的全地区医保经办系统练兵比武活动，通过练兵比武活动，为经办干部搭建补短板、强弱项、比技能的平合。</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2:常态化制度化落实药品耗材集中带量采购，推动医疗服务项目运行监测，建立长效医药集采落实情况、价格和供应监测机制，加强监测点建设，优先选择覆盖面大、信息化水平较好、反映区域内情况的单位作为监测点，逐步延伸至各级医疗机构、零售药店、配送企业，推动集中带量采购落实效果的监测能力提升，提高异常信息发现和处置能力。</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3:根据自治区DRG/DIP支付方式改革三年行动计划部署要求，逐步提高统筹地区、医疗机构、病种分组、医保基金覆盖率。统筹地区医疗机构覆盖面：2024年底实现全覆盖。统筹地区病种覆盖面：2024年底实现入组率达到90%以上。统筹地区医保基金总额预算覆盖率：2024年底不低于70%。</w:t>
            </w:r>
            <w:r>
              <w:rPr>
                <w:rFonts w:hint="eastAsia" w:ascii="仿宋_GB2312" w:eastAsia="仿宋_GB2312" w:cs="仿宋_GB2312"/>
                <w:color w:val="auto"/>
                <w:sz w:val="20"/>
                <w:szCs w:val="20"/>
                <w:highlight w:val="none"/>
                <w:lang w:eastAsia="zh-CN"/>
              </w:rPr>
              <w:br w:type="textWrapping"/>
            </w:r>
            <w:r>
              <w:rPr>
                <w:rFonts w:hint="eastAsia" w:ascii="仿宋_GB2312" w:eastAsia="仿宋_GB2312" w:cs="仿宋_GB2312"/>
                <w:color w:val="auto"/>
                <w:sz w:val="20"/>
                <w:szCs w:val="20"/>
                <w:highlight w:val="none"/>
                <w:lang w:eastAsia="zh-CN"/>
              </w:rPr>
              <w:t>目标4:加强医疗保障基金使用常态化监管，建立健全监督检查、智能监控、举报奖励、信用管理、综合监管、社会监督长效机制，多措并举织密基金监管网，进一步提升基金监管法制化、专业化、信息化水平，提升监管效能，有效维护医保基金安全；进一步压紧压实基金监管责任，强化医保行政监管责任、经办日常审核检查责任，推动落实定点医药机构医保基金使用主体责任、地方政府属地监管责任。</w:t>
            </w:r>
          </w:p>
        </w:tc>
      </w:tr>
      <w:tr>
        <w:tblPrEx>
          <w:tblCellMar>
            <w:top w:w="0" w:type="dxa"/>
            <w:left w:w="108" w:type="dxa"/>
            <w:bottom w:w="0" w:type="dxa"/>
            <w:right w:w="108" w:type="dxa"/>
          </w:tblCellMar>
        </w:tblPrEx>
        <w:trPr>
          <w:trHeight w:val="23" w:hRule="atLeast"/>
        </w:trPr>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一级指标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二级指标</w:t>
            </w:r>
          </w:p>
        </w:tc>
        <w:tc>
          <w:tcPr>
            <w:tcW w:w="26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b/>
                <w:bCs/>
                <w:color w:val="auto"/>
                <w:sz w:val="20"/>
                <w:szCs w:val="20"/>
                <w:highlight w:val="none"/>
              </w:rPr>
            </w:pPr>
            <w:r>
              <w:rPr>
                <w:rFonts w:hint="eastAsia" w:ascii="仿宋_GB2312" w:eastAsia="仿宋_GB2312" w:cs="仿宋_GB2312"/>
                <w:b/>
                <w:bCs/>
                <w:color w:val="auto"/>
                <w:sz w:val="20"/>
                <w:szCs w:val="20"/>
                <w:highlight w:val="none"/>
                <w:lang w:eastAsia="zh-CN"/>
              </w:rPr>
              <w:t>三级指标</w:t>
            </w:r>
          </w:p>
        </w:tc>
        <w:tc>
          <w:tcPr>
            <w:tcW w:w="941" w:type="pct"/>
            <w:gridSpan w:val="2"/>
            <w:tcBorders>
              <w:top w:val="single" w:color="000000" w:sz="4" w:space="0"/>
              <w:left w:val="single" w:color="000000" w:sz="4" w:space="0"/>
              <w:bottom w:val="single" w:color="000000" w:sz="4" w:space="0"/>
              <w:right w:val="single" w:color="000000" w:sz="4" w:space="0"/>
            </w:tcBorders>
            <w:shd w:val="clear" w:color="auto" w:fill="auto"/>
          </w:tcPr>
          <w:p>
            <w:pPr>
              <w:jc w:val="center"/>
              <w:textAlignment w:val="top"/>
              <w:rPr>
                <w:rFonts w:ascii="仿宋_GB2312" w:eastAsia="仿宋_GB2312" w:cs="仿宋_GB2312"/>
                <w:b/>
                <w:bCs/>
                <w:color w:val="auto"/>
                <w:sz w:val="20"/>
                <w:szCs w:val="20"/>
                <w:highlight w:val="none"/>
                <w:lang w:eastAsia="zh-CN"/>
              </w:rPr>
            </w:pPr>
            <w:r>
              <w:rPr>
                <w:rFonts w:hint="eastAsia" w:ascii="仿宋_GB2312" w:eastAsia="仿宋_GB2312" w:cs="仿宋_GB2312"/>
                <w:b/>
                <w:bCs/>
                <w:color w:val="auto"/>
                <w:sz w:val="20"/>
                <w:szCs w:val="20"/>
                <w:highlight w:val="none"/>
                <w:lang w:eastAsia="zh-CN"/>
              </w:rPr>
              <w:t>指标值(包含数字及文字描述)</w:t>
            </w:r>
          </w:p>
        </w:tc>
      </w:tr>
      <w:tr>
        <w:tblPrEx>
          <w:tblCellMar>
            <w:top w:w="0" w:type="dxa"/>
            <w:left w:w="108" w:type="dxa"/>
            <w:bottom w:w="0" w:type="dxa"/>
            <w:right w:w="108" w:type="dxa"/>
          </w:tblCellMar>
        </w:tblPrEx>
        <w:trPr>
          <w:trHeight w:val="522" w:hRule="atLeast"/>
        </w:trPr>
        <w:tc>
          <w:tcPr>
            <w:tcW w:w="6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产出指标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6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租赁演播厅场地数量</w:t>
            </w:r>
          </w:p>
        </w:tc>
        <w:tc>
          <w:tcPr>
            <w:tcW w:w="9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≥1个</w:t>
            </w:r>
          </w:p>
        </w:tc>
      </w:tr>
      <w:tr>
        <w:tblPrEx>
          <w:tblCellMar>
            <w:top w:w="0" w:type="dxa"/>
            <w:left w:w="108" w:type="dxa"/>
            <w:bottom w:w="0" w:type="dxa"/>
            <w:right w:w="108" w:type="dxa"/>
          </w:tblCellMar>
        </w:tblPrEx>
        <w:trPr>
          <w:trHeight w:val="522" w:hRule="atLeast"/>
        </w:trPr>
        <w:tc>
          <w:tcPr>
            <w:tcW w:w="6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6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练兵比武参赛市区县数量</w:t>
            </w:r>
          </w:p>
        </w:tc>
        <w:tc>
          <w:tcPr>
            <w:tcW w:w="9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≥3个</w:t>
            </w:r>
          </w:p>
        </w:tc>
      </w:tr>
      <w:tr>
        <w:tblPrEx>
          <w:tblCellMar>
            <w:top w:w="0" w:type="dxa"/>
            <w:left w:w="108" w:type="dxa"/>
            <w:bottom w:w="0" w:type="dxa"/>
            <w:right w:w="108" w:type="dxa"/>
          </w:tblCellMar>
        </w:tblPrEx>
        <w:trPr>
          <w:trHeight w:val="522" w:hRule="atLeast"/>
        </w:trPr>
        <w:tc>
          <w:tcPr>
            <w:tcW w:w="6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6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全国医保经办系统练兵比武政策文件汇编及题库</w:t>
            </w:r>
          </w:p>
        </w:tc>
        <w:tc>
          <w:tcPr>
            <w:tcW w:w="9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≥200本</w:t>
            </w:r>
          </w:p>
        </w:tc>
      </w:tr>
      <w:tr>
        <w:tblPrEx>
          <w:tblCellMar>
            <w:top w:w="0" w:type="dxa"/>
            <w:left w:w="108" w:type="dxa"/>
            <w:bottom w:w="0" w:type="dxa"/>
            <w:right w:w="108" w:type="dxa"/>
          </w:tblCellMar>
        </w:tblPrEx>
        <w:trPr>
          <w:trHeight w:val="522" w:hRule="atLeast"/>
        </w:trPr>
        <w:tc>
          <w:tcPr>
            <w:tcW w:w="6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6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召开医药价格工作政策吹风会、宣传活动、调研指导次数</w:t>
            </w:r>
          </w:p>
        </w:tc>
        <w:tc>
          <w:tcPr>
            <w:tcW w:w="9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≥2次</w:t>
            </w:r>
          </w:p>
        </w:tc>
      </w:tr>
      <w:tr>
        <w:tblPrEx>
          <w:tblCellMar>
            <w:top w:w="0" w:type="dxa"/>
            <w:left w:w="108" w:type="dxa"/>
            <w:bottom w:w="0" w:type="dxa"/>
            <w:right w:w="108" w:type="dxa"/>
          </w:tblCellMar>
        </w:tblPrEx>
        <w:trPr>
          <w:trHeight w:val="522" w:hRule="atLeast"/>
        </w:trPr>
        <w:tc>
          <w:tcPr>
            <w:tcW w:w="6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6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召开医药价格工作会议或培训</w:t>
            </w:r>
          </w:p>
        </w:tc>
        <w:tc>
          <w:tcPr>
            <w:tcW w:w="9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≥2次</w:t>
            </w:r>
          </w:p>
        </w:tc>
      </w:tr>
      <w:tr>
        <w:tblPrEx>
          <w:tblCellMar>
            <w:top w:w="0" w:type="dxa"/>
            <w:left w:w="108" w:type="dxa"/>
            <w:bottom w:w="0" w:type="dxa"/>
            <w:right w:w="108" w:type="dxa"/>
          </w:tblCellMar>
        </w:tblPrEx>
        <w:trPr>
          <w:trHeight w:val="522" w:hRule="atLeast"/>
        </w:trPr>
        <w:tc>
          <w:tcPr>
            <w:tcW w:w="6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6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2024年统筹地区病种覆盖入组率</w:t>
            </w:r>
          </w:p>
        </w:tc>
        <w:tc>
          <w:tcPr>
            <w:tcW w:w="9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≥90%</w:t>
            </w:r>
          </w:p>
        </w:tc>
      </w:tr>
      <w:tr>
        <w:tblPrEx>
          <w:tblCellMar>
            <w:top w:w="0" w:type="dxa"/>
            <w:left w:w="108" w:type="dxa"/>
            <w:bottom w:w="0" w:type="dxa"/>
            <w:right w:w="108" w:type="dxa"/>
          </w:tblCellMar>
        </w:tblPrEx>
        <w:trPr>
          <w:trHeight w:val="522" w:hRule="atLeast"/>
        </w:trPr>
        <w:tc>
          <w:tcPr>
            <w:tcW w:w="6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6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定点医疗机构现场检查覆盖率</w:t>
            </w:r>
          </w:p>
        </w:tc>
        <w:tc>
          <w:tcPr>
            <w:tcW w:w="9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522" w:hRule="atLeast"/>
        </w:trPr>
        <w:tc>
          <w:tcPr>
            <w:tcW w:w="6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数量指标</w:t>
            </w:r>
          </w:p>
        </w:tc>
        <w:tc>
          <w:tcPr>
            <w:tcW w:w="26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定点零售药店现场检查覆盖率</w:t>
            </w:r>
          </w:p>
        </w:tc>
        <w:tc>
          <w:tcPr>
            <w:tcW w:w="9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522" w:hRule="atLeast"/>
        </w:trPr>
        <w:tc>
          <w:tcPr>
            <w:tcW w:w="6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质量指标</w:t>
            </w:r>
          </w:p>
        </w:tc>
        <w:tc>
          <w:tcPr>
            <w:tcW w:w="26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DIP支付方式改革能力</w:t>
            </w:r>
          </w:p>
        </w:tc>
        <w:tc>
          <w:tcPr>
            <w:tcW w:w="9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有效提升</w:t>
            </w:r>
          </w:p>
        </w:tc>
      </w:tr>
      <w:tr>
        <w:tblPrEx>
          <w:tblCellMar>
            <w:top w:w="0" w:type="dxa"/>
            <w:left w:w="108" w:type="dxa"/>
            <w:bottom w:w="0" w:type="dxa"/>
            <w:right w:w="108" w:type="dxa"/>
          </w:tblCellMar>
        </w:tblPrEx>
        <w:trPr>
          <w:trHeight w:val="522" w:hRule="atLeast"/>
        </w:trPr>
        <w:tc>
          <w:tcPr>
            <w:tcW w:w="6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质量指标</w:t>
            </w:r>
          </w:p>
        </w:tc>
        <w:tc>
          <w:tcPr>
            <w:tcW w:w="26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购买医药价格监测硬件设施并配备至监测点</w:t>
            </w:r>
          </w:p>
        </w:tc>
        <w:tc>
          <w:tcPr>
            <w:tcW w:w="9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≥95%</w:t>
            </w:r>
          </w:p>
        </w:tc>
      </w:tr>
      <w:tr>
        <w:tblPrEx>
          <w:tblCellMar>
            <w:top w:w="0" w:type="dxa"/>
            <w:left w:w="108" w:type="dxa"/>
            <w:bottom w:w="0" w:type="dxa"/>
            <w:right w:w="108" w:type="dxa"/>
          </w:tblCellMar>
        </w:tblPrEx>
        <w:trPr>
          <w:trHeight w:val="522" w:hRule="atLeast"/>
        </w:trPr>
        <w:tc>
          <w:tcPr>
            <w:tcW w:w="6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时效指标</w:t>
            </w:r>
          </w:p>
        </w:tc>
        <w:tc>
          <w:tcPr>
            <w:tcW w:w="26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完成年度各类监督检查任务时间(基金监管)</w:t>
            </w:r>
          </w:p>
        </w:tc>
        <w:tc>
          <w:tcPr>
            <w:tcW w:w="9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2024年12月31日前</w:t>
            </w:r>
          </w:p>
        </w:tc>
      </w:tr>
      <w:tr>
        <w:tblPrEx>
          <w:tblCellMar>
            <w:top w:w="0" w:type="dxa"/>
            <w:left w:w="108" w:type="dxa"/>
            <w:bottom w:w="0" w:type="dxa"/>
            <w:right w:w="108" w:type="dxa"/>
          </w:tblCellMar>
        </w:tblPrEx>
        <w:trPr>
          <w:trHeight w:val="522" w:hRule="atLeast"/>
        </w:trPr>
        <w:tc>
          <w:tcPr>
            <w:tcW w:w="6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成本指标</w:t>
            </w:r>
          </w:p>
        </w:tc>
        <w:tc>
          <w:tcPr>
            <w:tcW w:w="26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医保能力提升经费(基金监管)</w:t>
            </w:r>
          </w:p>
        </w:tc>
        <w:tc>
          <w:tcPr>
            <w:tcW w:w="9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&lt;50万元</w:t>
            </w:r>
          </w:p>
        </w:tc>
      </w:tr>
      <w:tr>
        <w:tblPrEx>
          <w:tblCellMar>
            <w:top w:w="0" w:type="dxa"/>
            <w:left w:w="108" w:type="dxa"/>
            <w:bottom w:w="0" w:type="dxa"/>
            <w:right w:w="108" w:type="dxa"/>
          </w:tblCellMar>
        </w:tblPrEx>
        <w:trPr>
          <w:trHeight w:val="522" w:hRule="atLeast"/>
        </w:trPr>
        <w:tc>
          <w:tcPr>
            <w:tcW w:w="6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成本指标</w:t>
            </w:r>
          </w:p>
        </w:tc>
        <w:tc>
          <w:tcPr>
            <w:tcW w:w="26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DIP支付方式改革能力提升经费</w:t>
            </w:r>
          </w:p>
        </w:tc>
        <w:tc>
          <w:tcPr>
            <w:tcW w:w="9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&lt;20万元</w:t>
            </w:r>
          </w:p>
        </w:tc>
      </w:tr>
      <w:tr>
        <w:tblPrEx>
          <w:tblCellMar>
            <w:top w:w="0" w:type="dxa"/>
            <w:left w:w="108" w:type="dxa"/>
            <w:bottom w:w="0" w:type="dxa"/>
            <w:right w:w="108" w:type="dxa"/>
          </w:tblCellMar>
        </w:tblPrEx>
        <w:trPr>
          <w:trHeight w:val="522" w:hRule="atLeast"/>
        </w:trPr>
        <w:tc>
          <w:tcPr>
            <w:tcW w:w="6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效益指标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社会效益指标</w:t>
            </w:r>
          </w:p>
        </w:tc>
        <w:tc>
          <w:tcPr>
            <w:tcW w:w="26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提升全区经办队伍能力，提高经办服务水平</w:t>
            </w:r>
          </w:p>
        </w:tc>
        <w:tc>
          <w:tcPr>
            <w:tcW w:w="9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有效提升</w:t>
            </w:r>
          </w:p>
        </w:tc>
      </w:tr>
      <w:tr>
        <w:tblPrEx>
          <w:tblCellMar>
            <w:top w:w="0" w:type="dxa"/>
            <w:left w:w="108" w:type="dxa"/>
            <w:bottom w:w="0" w:type="dxa"/>
            <w:right w:w="108" w:type="dxa"/>
          </w:tblCellMar>
        </w:tblPrEx>
        <w:trPr>
          <w:trHeight w:val="522" w:hRule="atLeast"/>
        </w:trPr>
        <w:tc>
          <w:tcPr>
            <w:tcW w:w="6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eastAsia="仿宋_GB2312" w:cs="仿宋_GB2312"/>
                <w:color w:val="auto"/>
                <w:sz w:val="20"/>
                <w:szCs w:val="20"/>
                <w:highlight w:val="none"/>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可持续影响指标</w:t>
            </w:r>
          </w:p>
        </w:tc>
        <w:tc>
          <w:tcPr>
            <w:tcW w:w="26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lang w:eastAsia="zh-CN"/>
              </w:rPr>
            </w:pPr>
            <w:r>
              <w:rPr>
                <w:rFonts w:hint="eastAsia" w:ascii="仿宋_GB2312" w:eastAsia="仿宋_GB2312" w:cs="仿宋_GB2312"/>
                <w:color w:val="auto"/>
                <w:sz w:val="20"/>
                <w:szCs w:val="20"/>
                <w:highlight w:val="none"/>
                <w:lang w:eastAsia="zh-CN"/>
              </w:rPr>
              <w:t>区域联盟议价采购药品、医用耗材执行期</w:t>
            </w:r>
          </w:p>
        </w:tc>
        <w:tc>
          <w:tcPr>
            <w:tcW w:w="9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≥2年</w:t>
            </w:r>
          </w:p>
        </w:tc>
      </w:tr>
      <w:tr>
        <w:tblPrEx>
          <w:tblCellMar>
            <w:top w:w="0" w:type="dxa"/>
            <w:left w:w="108" w:type="dxa"/>
            <w:bottom w:w="0" w:type="dxa"/>
            <w:right w:w="108" w:type="dxa"/>
          </w:tblCellMar>
        </w:tblPrEx>
        <w:trPr>
          <w:trHeight w:val="522" w:hRule="atLeast"/>
        </w:trPr>
        <w:tc>
          <w:tcPr>
            <w:tcW w:w="6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26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经办机构满意度</w:t>
            </w:r>
          </w:p>
        </w:tc>
        <w:tc>
          <w:tcPr>
            <w:tcW w:w="9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≥90%</w:t>
            </w:r>
          </w:p>
        </w:tc>
      </w:tr>
      <w:tr>
        <w:tblPrEx>
          <w:tblCellMar>
            <w:top w:w="0" w:type="dxa"/>
            <w:left w:w="108" w:type="dxa"/>
            <w:bottom w:w="0" w:type="dxa"/>
            <w:right w:w="108" w:type="dxa"/>
          </w:tblCellMar>
        </w:tblPrEx>
        <w:trPr>
          <w:trHeight w:val="522" w:hRule="atLeast"/>
        </w:trPr>
        <w:tc>
          <w:tcPr>
            <w:tcW w:w="6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ascii="仿宋_GB2312" w:eastAsia="仿宋_GB2312" w:cs="仿宋_GB2312"/>
                <w:color w:val="auto"/>
                <w:sz w:val="20"/>
                <w:szCs w:val="20"/>
                <w:highlight w:val="none"/>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满意度指标</w:t>
            </w:r>
          </w:p>
        </w:tc>
        <w:tc>
          <w:tcPr>
            <w:tcW w:w="26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参赛区县满意度</w:t>
            </w:r>
          </w:p>
        </w:tc>
        <w:tc>
          <w:tcPr>
            <w:tcW w:w="9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eastAsia="仿宋_GB2312" w:cs="仿宋_GB2312"/>
                <w:color w:val="auto"/>
                <w:sz w:val="20"/>
                <w:szCs w:val="20"/>
                <w:highlight w:val="none"/>
              </w:rPr>
            </w:pPr>
            <w:r>
              <w:rPr>
                <w:rFonts w:hint="eastAsia" w:ascii="仿宋_GB2312" w:eastAsia="仿宋_GB2312" w:cs="仿宋_GB2312"/>
                <w:color w:val="auto"/>
                <w:sz w:val="20"/>
                <w:szCs w:val="20"/>
                <w:highlight w:val="none"/>
                <w:lang w:eastAsia="zh-CN"/>
              </w:rPr>
              <w:t>≥90%</w:t>
            </w:r>
          </w:p>
        </w:tc>
      </w:tr>
    </w:tbl>
    <w:p>
      <w:pPr>
        <w:rPr>
          <w:color w:val="auto"/>
          <w:highlight w:val="none"/>
        </w:rPr>
      </w:pPr>
      <w:r>
        <w:rPr>
          <w:rFonts w:ascii="黑体" w:hAnsi="黑体" w:eastAsia="黑体" w:cs="黑体"/>
          <w:b/>
          <w:bCs/>
          <w:color w:val="auto"/>
          <w:spacing w:val="-5"/>
          <w:sz w:val="32"/>
          <w:szCs w:val="32"/>
          <w:highlight w:val="none"/>
        </w:rPr>
        <w:br w:type="page"/>
      </w:r>
    </w:p>
    <w:p>
      <w:pPr>
        <w:autoSpaceDE/>
        <w:autoSpaceDN/>
        <w:adjustRightInd/>
        <w:spacing w:line="560" w:lineRule="exact"/>
        <w:ind w:firstLine="620" w:firstLineChars="200"/>
        <w:jc w:val="both"/>
        <w:outlineLvl w:val="0"/>
        <w:rPr>
          <w:rFonts w:ascii="黑体" w:hAnsi="黑体" w:eastAsia="黑体" w:cs="黑体"/>
          <w:color w:val="auto"/>
          <w:spacing w:val="-5"/>
          <w:sz w:val="32"/>
          <w:szCs w:val="32"/>
          <w:highlight w:val="none"/>
        </w:rPr>
      </w:pPr>
      <w:r>
        <w:rPr>
          <w:rFonts w:hint="eastAsia" w:ascii="黑体" w:hAnsi="黑体" w:eastAsia="黑体" w:cs="黑体"/>
          <w:color w:val="auto"/>
          <w:spacing w:val="-5"/>
          <w:sz w:val="32"/>
          <w:szCs w:val="32"/>
          <w:highlight w:val="none"/>
        </w:rPr>
        <w:t>二、绩效情况分析</w:t>
      </w:r>
    </w:p>
    <w:p>
      <w:pPr>
        <w:pStyle w:val="7"/>
        <w:numPr>
          <w:ilvl w:val="0"/>
          <w:numId w:val="2"/>
        </w:numPr>
        <w:spacing w:line="560" w:lineRule="exact"/>
        <w:ind w:firstLine="628" w:firstLineChars="200"/>
        <w:jc w:val="both"/>
        <w:rPr>
          <w:rFonts w:ascii="楷体_GB2312" w:hAnsi="楷体_GB2312" w:eastAsia="楷体_GB2312" w:cs="楷体_GB2312"/>
          <w:color w:val="auto"/>
          <w:spacing w:val="-3"/>
          <w:sz w:val="32"/>
          <w:szCs w:val="32"/>
          <w:highlight w:val="none"/>
          <w:lang w:eastAsia="zh-CN"/>
        </w:rPr>
      </w:pPr>
      <w:r>
        <w:rPr>
          <w:rFonts w:hint="eastAsia" w:ascii="楷体_GB2312" w:hAnsi="楷体_GB2312" w:eastAsia="楷体_GB2312" w:cs="楷体_GB2312"/>
          <w:color w:val="auto"/>
          <w:spacing w:val="-3"/>
          <w:sz w:val="32"/>
          <w:szCs w:val="32"/>
          <w:highlight w:val="none"/>
          <w:lang w:eastAsia="zh-CN"/>
        </w:rPr>
        <w:t>资金投入情况分析</w:t>
      </w:r>
    </w:p>
    <w:p>
      <w:pPr>
        <w:wordWrap w:val="0"/>
        <w:spacing w:line="560" w:lineRule="exact"/>
        <w:ind w:firstLine="642" w:firstLineChars="200"/>
        <w:jc w:val="both"/>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1.资金到位情况分析</w:t>
      </w:r>
    </w:p>
    <w:p>
      <w:pPr>
        <w:wordWrap w:val="0"/>
        <w:spacing w:line="560" w:lineRule="exact"/>
        <w:ind w:firstLine="640" w:firstLineChars="200"/>
        <w:jc w:val="both"/>
        <w:rPr>
          <w:rFonts w:hint="default" w:ascii="仿宋_GB2312" w:hAnsi="仿宋_GB2312" w:eastAsia="仿宋_GB2312" w:cs="仿宋_GB2312"/>
          <w:snapToGrid w:val="0"/>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rPr>
        <w:t>2024年度中央下达我区医疗服务与保障能力提升补助资金（医疗保障服务能力建设部分）</w:t>
      </w:r>
      <w:r>
        <w:rPr>
          <w:rFonts w:hint="eastAsia" w:ascii="仿宋_GB2312" w:hAnsi="仿宋_GB2312" w:eastAsia="仿宋_GB2312" w:cs="仿宋_GB2312"/>
          <w:color w:val="auto"/>
          <w:sz w:val="32"/>
          <w:szCs w:val="32"/>
          <w:highlight w:val="none"/>
          <w:lang w:val="en-US" w:eastAsia="zh-CN"/>
        </w:rPr>
        <w:t>预算总金额为10500万元，</w:t>
      </w:r>
      <w:r>
        <w:rPr>
          <w:rFonts w:hint="eastAsia" w:ascii="仿宋_GB2312" w:hAnsi="仿宋_GB2312" w:eastAsia="仿宋_GB2312" w:cs="仿宋_GB2312"/>
          <w:snapToGrid w:val="0"/>
          <w:color w:val="auto"/>
          <w:sz w:val="32"/>
          <w:szCs w:val="32"/>
          <w:highlight w:val="none"/>
          <w:lang w:val="en-US" w:eastAsia="zh-CN" w:bidi="ar-SA"/>
        </w:rPr>
        <w:t>上年结转资金6408.44万元，2024年预算资金共计16908.44万元，资金到位16908.44万元，资金到位率100%。</w:t>
      </w:r>
    </w:p>
    <w:p>
      <w:pPr>
        <w:wordWrap w:val="0"/>
        <w:spacing w:line="560" w:lineRule="exact"/>
        <w:ind w:firstLine="642" w:firstLineChars="200"/>
        <w:jc w:val="both"/>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2.资金执行情况分析</w:t>
      </w:r>
    </w:p>
    <w:p>
      <w:pPr>
        <w:pStyle w:val="7"/>
        <w:spacing w:line="560" w:lineRule="exact"/>
        <w:ind w:firstLine="640" w:firstLineChars="200"/>
        <w:jc w:val="both"/>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区2024年度医疗服务与保障能力提升补助资金预算金额合计16908.44万元，其中：当年预算资金10500万元，上年结转资金6408.44万元。预算执行数合计15150.65万元，预算执行率89.60%。其中：中央补助资金预算10500万元，全年执行9207.59万元，执行率87.69%；上年结转资金6408.44万元，全年执行5943.06万元，执行率92.74%。</w:t>
      </w:r>
    </w:p>
    <w:p>
      <w:pPr>
        <w:wordWrap w:val="0"/>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详细情况如下:</w:t>
      </w:r>
    </w:p>
    <w:p>
      <w:pPr>
        <w:pStyle w:val="7"/>
        <w:spacing w:line="560" w:lineRule="exact"/>
        <w:ind w:firstLine="644" w:firstLineChars="200"/>
        <w:jc w:val="both"/>
        <w:rPr>
          <w:rFonts w:hint="eastAsia" w:ascii="仿宋_GB2312" w:hAnsi="仿宋_GB2312" w:eastAsia="仿宋_GB2312" w:cs="仿宋_GB2312"/>
          <w:color w:val="auto"/>
          <w:spacing w:val="1"/>
          <w:sz w:val="32"/>
          <w:szCs w:val="32"/>
          <w:highlight w:val="none"/>
          <w:lang w:val="en-US" w:eastAsia="zh-CN"/>
        </w:rPr>
      </w:pPr>
      <w:r>
        <w:rPr>
          <w:rFonts w:hint="eastAsia" w:ascii="仿宋_GB2312" w:hAnsi="仿宋_GB2312" w:eastAsia="仿宋_GB2312" w:cs="仿宋_GB2312"/>
          <w:color w:val="auto"/>
          <w:spacing w:val="1"/>
          <w:sz w:val="32"/>
          <w:szCs w:val="32"/>
          <w:highlight w:val="none"/>
          <w:lang w:val="en-US" w:eastAsia="zh-CN"/>
        </w:rPr>
        <w:t>1.信息化建设项目预算资金11544.64万元，其中：当年预算资金7165万元；上年结余资金4379.64万元，占总预算比例68.28%；主要用于“两结合三赋能”数智工程，2024年实施落地的基层云服务、业务场景开发、大数据赋能应用、云平台扩容、地市专区等重点内容，均为群众便民服务事项，截至2024年12月31日，支出10379.32万元，执行率89.95%；应支未支资金1165.32万元主要是合同规定未到支付节点。</w:t>
      </w:r>
    </w:p>
    <w:p>
      <w:pPr>
        <w:pStyle w:val="7"/>
        <w:spacing w:line="560" w:lineRule="exact"/>
        <w:ind w:firstLine="644" w:firstLineChars="200"/>
        <w:jc w:val="both"/>
        <w:rPr>
          <w:rFonts w:hint="eastAsia" w:ascii="仿宋_GB2312" w:hAnsi="仿宋_GB2312" w:eastAsia="仿宋_GB2312" w:cs="仿宋_GB2312"/>
          <w:color w:val="auto"/>
          <w:spacing w:val="1"/>
          <w:sz w:val="32"/>
          <w:szCs w:val="32"/>
          <w:highlight w:val="none"/>
          <w:lang w:eastAsia="zh-CN"/>
        </w:rPr>
      </w:pPr>
      <w:r>
        <w:rPr>
          <w:rFonts w:hint="eastAsia" w:ascii="仿宋_GB2312" w:hAnsi="仿宋_GB2312" w:eastAsia="仿宋_GB2312" w:cs="仿宋_GB2312"/>
          <w:color w:val="auto"/>
          <w:spacing w:val="1"/>
          <w:sz w:val="32"/>
          <w:szCs w:val="32"/>
          <w:highlight w:val="none"/>
          <w:lang w:eastAsia="zh-CN"/>
        </w:rPr>
        <w:t>2.基金监管项目预算1610.34万元，其中：当年预算资金1400万元；上年结余资金210.34万元，占总预算比例9.52%；主要用于强化“两定”管理，支付交叉检查、抽查复查等工作的差旅费、住宿费、交通费、专家劳务费等、开展业务培训、购置专业设备、通过政府购买服务，引入第三方专业服务、印制宣传材料等方面），截至2024年12月31日，支出1558.36万元，执行率96.77%；应支未支资金51.98万元主要是为项目尾款，尚未到付款节点。</w:t>
      </w:r>
    </w:p>
    <w:p>
      <w:pPr>
        <w:pStyle w:val="7"/>
        <w:spacing w:line="560" w:lineRule="exact"/>
        <w:ind w:firstLine="644" w:firstLineChars="200"/>
        <w:jc w:val="both"/>
        <w:rPr>
          <w:rFonts w:hint="eastAsia" w:ascii="仿宋_GB2312" w:hAnsi="仿宋_GB2312" w:eastAsia="仿宋_GB2312" w:cs="仿宋_GB2312"/>
          <w:color w:val="auto"/>
          <w:spacing w:val="1"/>
          <w:sz w:val="32"/>
          <w:szCs w:val="32"/>
          <w:highlight w:val="none"/>
          <w:lang w:eastAsia="zh-CN"/>
        </w:rPr>
      </w:pPr>
      <w:r>
        <w:rPr>
          <w:rFonts w:hint="eastAsia" w:ascii="仿宋_GB2312" w:hAnsi="仿宋_GB2312" w:eastAsia="仿宋_GB2312" w:cs="仿宋_GB2312"/>
          <w:color w:val="auto"/>
          <w:spacing w:val="1"/>
          <w:sz w:val="32"/>
          <w:szCs w:val="32"/>
          <w:highlight w:val="none"/>
          <w:lang w:eastAsia="zh-CN"/>
        </w:rPr>
        <w:t>3.医保支付方式改革项目预算资金1800.99万元，其中：当年预算资金580万元；上年结余资金1220.99万元，占总预算比例10.65%；主要用于各统筹地区DRG/DIP支付方式改革，购买第三方服务和专业队伍建设，截至2024年12月31日，支出1416.47万元，执行率78.65%</w:t>
      </w:r>
      <w:bookmarkStart w:id="0" w:name="_Hlk152320539"/>
      <w:r>
        <w:rPr>
          <w:rFonts w:hint="eastAsia" w:ascii="仿宋_GB2312" w:hAnsi="仿宋_GB2312" w:eastAsia="仿宋_GB2312" w:cs="仿宋_GB2312"/>
          <w:color w:val="auto"/>
          <w:spacing w:val="1"/>
          <w:sz w:val="32"/>
          <w:szCs w:val="32"/>
          <w:highlight w:val="none"/>
          <w:lang w:eastAsia="zh-CN"/>
        </w:rPr>
        <w:t>；应支未支资金384.52万元主要原因如下：一为项目完工，部分尾款，尚未到付款节点。二是合同签订到期日为2025年，项目尚未完工，未到支付节点。三是个别地州预算精准度需要提升，预算资金高于中标资金，有结余资金。</w:t>
      </w:r>
    </w:p>
    <w:bookmarkEnd w:id="0"/>
    <w:p>
      <w:pPr>
        <w:pStyle w:val="7"/>
        <w:spacing w:line="560" w:lineRule="exact"/>
        <w:ind w:firstLine="644" w:firstLineChars="200"/>
        <w:jc w:val="both"/>
        <w:rPr>
          <w:rFonts w:hint="eastAsia" w:ascii="仿宋_GB2312" w:hAnsi="仿宋_GB2312" w:eastAsia="仿宋_GB2312" w:cs="仿宋_GB2312"/>
          <w:color w:val="auto"/>
          <w:spacing w:val="1"/>
          <w:sz w:val="32"/>
          <w:szCs w:val="32"/>
          <w:highlight w:val="none"/>
          <w:lang w:eastAsia="zh-CN"/>
        </w:rPr>
      </w:pPr>
      <w:r>
        <w:rPr>
          <w:rFonts w:hint="eastAsia" w:ascii="仿宋_GB2312" w:hAnsi="仿宋_GB2312" w:eastAsia="仿宋_GB2312" w:cs="仿宋_GB2312"/>
          <w:color w:val="auto"/>
          <w:spacing w:val="1"/>
          <w:sz w:val="32"/>
          <w:szCs w:val="32"/>
          <w:highlight w:val="none"/>
          <w:lang w:eastAsia="zh-CN"/>
        </w:rPr>
        <w:t>4.价格采购（价格监测）预算资金1204.29万元，其中：当年预算资金760万元；上年结余资金444.29万元，占预算比例7.12%；主要用于加快推进各统筹地区医药价格监测能力提升，监测点覆盖范围由所辖医药机构向医药生产企业、配送企业拓展，截至2024年12月31日，支出1046.92万元，执行率86.93%；应支未支资金157.37万元主要是为项目尾款，尚未到付款节点。</w:t>
      </w:r>
    </w:p>
    <w:p>
      <w:pPr>
        <w:pStyle w:val="7"/>
        <w:spacing w:line="560" w:lineRule="exact"/>
        <w:ind w:firstLine="644" w:firstLineChars="200"/>
        <w:jc w:val="both"/>
        <w:rPr>
          <w:rFonts w:hint="eastAsia" w:ascii="仿宋_GB2312" w:hAnsi="仿宋_GB2312" w:eastAsia="仿宋_GB2312" w:cs="仿宋_GB2312"/>
          <w:color w:val="auto"/>
          <w:spacing w:val="1"/>
          <w:sz w:val="32"/>
          <w:szCs w:val="32"/>
          <w:highlight w:val="none"/>
          <w:lang w:eastAsia="zh-CN"/>
        </w:rPr>
      </w:pPr>
      <w:r>
        <w:rPr>
          <w:rFonts w:hint="eastAsia" w:ascii="仿宋_GB2312" w:hAnsi="仿宋_GB2312" w:eastAsia="仿宋_GB2312" w:cs="仿宋_GB2312"/>
          <w:color w:val="auto"/>
          <w:spacing w:val="1"/>
          <w:sz w:val="32"/>
          <w:szCs w:val="32"/>
          <w:highlight w:val="none"/>
          <w:lang w:eastAsia="zh-CN"/>
        </w:rPr>
        <w:t>5.经办管理服务体系建设资金预算资金748.16万元，其中：当年预算资金595万元；上年结余资金153.16万元，占总预算比例4.43%；其中：主要用于医保宣传和档案数字化项目，全区医保经办系统练兵比武竞赛活动，全区教育培训等，截至2024年12月31日，支出744.02万元，执行率99.45%，应支未支资金4.14万元主要原因是尚未到付款节点。</w:t>
      </w:r>
    </w:p>
    <w:p>
      <w:pPr>
        <w:pStyle w:val="38"/>
        <w:jc w:val="both"/>
        <w:rPr>
          <w:rFonts w:ascii="Times New Roman" w:hAnsi="Times New Roman" w:eastAsia="楷体" w:cs="Times New Roman"/>
          <w:b/>
          <w:bCs/>
          <w:color w:val="auto"/>
          <w:sz w:val="32"/>
          <w:szCs w:val="32"/>
          <w:highlight w:val="none"/>
          <w:lang w:eastAsia="zh-CN"/>
        </w:rPr>
      </w:pPr>
    </w:p>
    <w:tbl>
      <w:tblPr>
        <w:tblStyle w:val="14"/>
        <w:tblW w:w="4998" w:type="pct"/>
        <w:tblInd w:w="0" w:type="dxa"/>
        <w:tblLayout w:type="fixed"/>
        <w:tblCellMar>
          <w:top w:w="0" w:type="dxa"/>
          <w:left w:w="108" w:type="dxa"/>
          <w:bottom w:w="0" w:type="dxa"/>
          <w:right w:w="108" w:type="dxa"/>
        </w:tblCellMar>
      </w:tblPr>
      <w:tblGrid>
        <w:gridCol w:w="919"/>
        <w:gridCol w:w="1621"/>
        <w:gridCol w:w="1170"/>
        <w:gridCol w:w="926"/>
        <w:gridCol w:w="1036"/>
        <w:gridCol w:w="1217"/>
        <w:gridCol w:w="1076"/>
        <w:gridCol w:w="979"/>
      </w:tblGrid>
      <w:tr>
        <w:tblPrEx>
          <w:tblCellMar>
            <w:top w:w="0" w:type="dxa"/>
            <w:left w:w="108" w:type="dxa"/>
            <w:bottom w:w="0" w:type="dxa"/>
            <w:right w:w="108" w:type="dxa"/>
          </w:tblCellMar>
        </w:tblPrEx>
        <w:trPr>
          <w:trHeight w:val="413" w:hRule="atLeast"/>
        </w:trPr>
        <w:tc>
          <w:tcPr>
            <w:tcW w:w="5000" w:type="pct"/>
            <w:gridSpan w:val="8"/>
            <w:tcBorders>
              <w:top w:val="nil"/>
              <w:left w:val="nil"/>
              <w:bottom w:val="nil"/>
              <w:right w:val="nil"/>
            </w:tcBorders>
            <w:shd w:val="clear" w:color="auto" w:fill="FFFFFF"/>
            <w:noWrap/>
            <w:vAlign w:val="center"/>
          </w:tcPr>
          <w:p>
            <w:pPr>
              <w:jc w:val="center"/>
              <w:textAlignment w:val="center"/>
              <w:rPr>
                <w:rFonts w:ascii="仿宋_GB2312" w:hAnsi="仿宋_GB2312" w:eastAsia="仿宋_GB2312" w:cs="仿宋_GB2312"/>
                <w:b/>
                <w:bCs/>
                <w:color w:val="auto"/>
                <w:sz w:val="24"/>
                <w:szCs w:val="24"/>
                <w:highlight w:val="none"/>
                <w:lang w:eastAsia="zh-CN"/>
              </w:rPr>
            </w:pPr>
            <w:r>
              <w:rPr>
                <w:rFonts w:hint="eastAsia" w:ascii="仿宋_GB2312" w:hAnsi="仿宋_GB2312" w:eastAsia="仿宋_GB2312" w:cs="仿宋_GB2312"/>
                <w:b/>
                <w:bCs/>
                <w:color w:val="auto"/>
                <w:sz w:val="24"/>
                <w:szCs w:val="24"/>
                <w:highlight w:val="none"/>
                <w:lang w:eastAsia="zh-CN"/>
              </w:rPr>
              <w:t>2024年医疗服务与保障能力提升补助资金（医疗保障服务能力建设部分）</w:t>
            </w:r>
          </w:p>
          <w:p>
            <w:pPr>
              <w:jc w:val="center"/>
              <w:textAlignment w:val="center"/>
              <w:rPr>
                <w:rFonts w:ascii="方正小标宋_GBK" w:hAnsi="方正小标宋_GBK" w:eastAsia="方正小标宋_GBK" w:cs="方正小标宋_GBK"/>
                <w:color w:val="auto"/>
                <w:sz w:val="32"/>
                <w:szCs w:val="32"/>
                <w:highlight w:val="none"/>
              </w:rPr>
            </w:pPr>
            <w:r>
              <w:rPr>
                <w:rFonts w:hint="eastAsia" w:ascii="仿宋_GB2312" w:hAnsi="仿宋_GB2312" w:eastAsia="仿宋_GB2312" w:cs="仿宋_GB2312"/>
                <w:b/>
                <w:bCs/>
                <w:color w:val="auto"/>
                <w:sz w:val="24"/>
                <w:szCs w:val="24"/>
                <w:highlight w:val="none"/>
                <w:lang w:eastAsia="zh-CN"/>
              </w:rPr>
              <w:t>预算执行情况表</w:t>
            </w:r>
          </w:p>
        </w:tc>
      </w:tr>
      <w:tr>
        <w:tblPrEx>
          <w:tblCellMar>
            <w:top w:w="0" w:type="dxa"/>
            <w:left w:w="108" w:type="dxa"/>
            <w:bottom w:w="0" w:type="dxa"/>
            <w:right w:w="108" w:type="dxa"/>
          </w:tblCellMar>
        </w:tblPrEx>
        <w:trPr>
          <w:trHeight w:val="987"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序号</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地区</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eastAsia="zh-CN"/>
              </w:rPr>
              <w:t>当年中央财政补助资金下达数</w:t>
            </w:r>
            <w:r>
              <w:rPr>
                <w:rFonts w:hint="eastAsia" w:ascii="仿宋_GB2312" w:hAnsi="仿宋_GB2312" w:eastAsia="仿宋_GB2312" w:cs="仿宋_GB2312"/>
                <w:color w:val="auto"/>
                <w:sz w:val="18"/>
                <w:szCs w:val="18"/>
                <w:highlight w:val="none"/>
                <w:lang w:eastAsia="zh-CN"/>
              </w:rPr>
              <w:br w:type="textWrapping"/>
            </w:r>
            <w:r>
              <w:rPr>
                <w:rFonts w:hint="eastAsia" w:ascii="仿宋_GB2312" w:hAnsi="仿宋_GB2312" w:eastAsia="仿宋_GB2312" w:cs="仿宋_GB2312"/>
                <w:color w:val="auto"/>
                <w:sz w:val="18"/>
                <w:szCs w:val="18"/>
                <w:highlight w:val="none"/>
                <w:lang w:eastAsia="zh-CN"/>
              </w:rPr>
              <w:t>（万元）</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eastAsia="zh-CN"/>
              </w:rPr>
              <w:t>上年结转资金（万元）</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eastAsia="zh-CN"/>
              </w:rPr>
              <w:t>当年实际支出</w:t>
            </w:r>
            <w:r>
              <w:rPr>
                <w:rFonts w:hint="eastAsia" w:ascii="仿宋_GB2312" w:hAnsi="仿宋_GB2312" w:eastAsia="仿宋_GB2312" w:cs="仿宋_GB2312"/>
                <w:color w:val="auto"/>
                <w:sz w:val="18"/>
                <w:szCs w:val="18"/>
                <w:highlight w:val="none"/>
                <w:lang w:eastAsia="zh-CN"/>
              </w:rPr>
              <w:br w:type="textWrapping"/>
            </w:r>
            <w:r>
              <w:rPr>
                <w:rFonts w:hint="eastAsia" w:ascii="仿宋_GB2312" w:hAnsi="仿宋_GB2312" w:eastAsia="仿宋_GB2312" w:cs="仿宋_GB2312"/>
                <w:color w:val="auto"/>
                <w:sz w:val="18"/>
                <w:szCs w:val="18"/>
                <w:highlight w:val="none"/>
                <w:lang w:eastAsia="zh-CN"/>
              </w:rPr>
              <w:t>（万元）</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预算执行率（%）</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lang w:eastAsia="zh-CN"/>
              </w:rPr>
              <w:t>当年结余资金</w:t>
            </w:r>
          </w:p>
          <w:p>
            <w:pPr>
              <w:jc w:val="center"/>
              <w:textAlignment w:val="center"/>
              <w:rPr>
                <w:color w:val="auto"/>
                <w:highlight w:val="none"/>
                <w:lang w:eastAsia="zh-CN"/>
              </w:rPr>
            </w:pPr>
            <w:r>
              <w:rPr>
                <w:rFonts w:hint="eastAsia" w:ascii="仿宋_GB2312" w:hAnsi="仿宋_GB2312" w:eastAsia="仿宋_GB2312" w:cs="仿宋_GB2312"/>
                <w:color w:val="auto"/>
                <w:sz w:val="18"/>
                <w:szCs w:val="18"/>
                <w:highlight w:val="none"/>
                <w:lang w:eastAsia="zh-CN"/>
              </w:rPr>
              <w:t>（万元）</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最终确认金额</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仿宋_GB2312" w:hAnsi="仿宋_GB2312" w:eastAsia="仿宋_GB2312" w:cs="仿宋_GB2312"/>
                <w:color w:val="auto"/>
                <w:sz w:val="18"/>
                <w:szCs w:val="18"/>
                <w:highlight w:val="none"/>
              </w:rPr>
            </w:pP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rPr>
                <w:rFonts w:ascii="仿宋_GB2312" w:hAnsi="仿宋_GB2312" w:eastAsia="仿宋_GB2312" w:cs="仿宋_GB2312"/>
                <w:color w:val="auto"/>
                <w:sz w:val="18"/>
                <w:szCs w:val="18"/>
                <w:highlight w:val="none"/>
              </w:rPr>
            </w:pP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A</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B</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C</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D=C/（A+B）</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E=A+B-C</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仿宋_GB2312" w:hAnsi="仿宋_GB2312" w:eastAsia="仿宋_GB2312" w:cs="仿宋_GB2312"/>
                <w:color w:val="auto"/>
                <w:sz w:val="18"/>
                <w:szCs w:val="18"/>
                <w:highlight w:val="none"/>
              </w:rPr>
            </w:pP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新疆维吾尔自治区</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10500.00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6408.44</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hint="default" w:ascii="仿宋_GB2312" w:hAnsi="仿宋_GB2312" w:eastAsia="仿宋_GB2312" w:cs="仿宋_GB2312"/>
                <w:color w:val="auto"/>
                <w:sz w:val="18"/>
                <w:szCs w:val="18"/>
                <w:highlight w:val="none"/>
                <w:lang w:val="en-US"/>
              </w:rPr>
            </w:pPr>
            <w:r>
              <w:rPr>
                <w:rFonts w:hint="eastAsia" w:ascii="仿宋_GB2312" w:hAnsi="仿宋_GB2312" w:eastAsia="仿宋_GB2312" w:cs="仿宋_GB2312"/>
                <w:color w:val="auto"/>
                <w:sz w:val="18"/>
                <w:szCs w:val="18"/>
                <w:highlight w:val="none"/>
                <w:lang w:eastAsia="zh-CN"/>
              </w:rPr>
              <w:t>15150.6</w:t>
            </w:r>
            <w:r>
              <w:rPr>
                <w:rFonts w:hint="eastAsia" w:ascii="仿宋_GB2312" w:hAnsi="仿宋_GB2312" w:eastAsia="仿宋_GB2312" w:cs="仿宋_GB2312"/>
                <w:color w:val="auto"/>
                <w:sz w:val="18"/>
                <w:szCs w:val="18"/>
                <w:highlight w:val="none"/>
                <w:lang w:val="en-US" w:eastAsia="zh-CN"/>
              </w:rPr>
              <w:t>5</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89.60%</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1757.78</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1588.17</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一</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本级</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8307.70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3605.80</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10869.79</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91.24%</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1043.71</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1043.71</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二</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地（市、州）合计</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2192.30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2802.64</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hint="default" w:ascii="仿宋_GB2312" w:hAnsi="仿宋_GB2312" w:eastAsia="仿宋_GB2312" w:cs="仿宋_GB2312"/>
                <w:color w:val="auto"/>
                <w:sz w:val="18"/>
                <w:szCs w:val="18"/>
                <w:highlight w:val="none"/>
                <w:lang w:val="en-US"/>
              </w:rPr>
            </w:pPr>
            <w:r>
              <w:rPr>
                <w:rFonts w:hint="eastAsia" w:ascii="仿宋_GB2312" w:hAnsi="仿宋_GB2312" w:eastAsia="仿宋_GB2312" w:cs="仿宋_GB2312"/>
                <w:color w:val="auto"/>
                <w:sz w:val="18"/>
                <w:szCs w:val="18"/>
                <w:highlight w:val="none"/>
                <w:lang w:eastAsia="zh-CN"/>
              </w:rPr>
              <w:t>4280.8</w:t>
            </w:r>
            <w:r>
              <w:rPr>
                <w:rFonts w:hint="eastAsia" w:ascii="仿宋_GB2312" w:hAnsi="仿宋_GB2312" w:eastAsia="仿宋_GB2312" w:cs="仿宋_GB2312"/>
                <w:color w:val="auto"/>
                <w:sz w:val="18"/>
                <w:szCs w:val="18"/>
                <w:highlight w:val="none"/>
                <w:lang w:val="en-US" w:eastAsia="zh-CN"/>
              </w:rPr>
              <w:t>6</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85.70%</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714.07</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544.46</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(一）</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乌鲁木齐市合计</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172.00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913.36</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694.18</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63.96%</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391.18</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225.38</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本级</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172.00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839.93</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621.94</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61.46%</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389.99</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223.48</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区县合计</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73.43</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72.24</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98.38%</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1.19</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1.9</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（二）</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克拉玛依市合计</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137.00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79.92</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216.92</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100.00%</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本级</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137.00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73.36</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210.36</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100.00%</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区县合计</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6.56</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6.56</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100.00%</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（三）</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伊犁州合计</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245.00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104.84</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297.98</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85.18%</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51.86</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51.86</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本级</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245.00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104.84</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297.98</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85.18%</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51.86</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51.86</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区县合计</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0.00</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0.00</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0.00%</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（四）</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塔城地区合计</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109.00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229.16</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338.16</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100.00%</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本级</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109.00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229.16</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338.16</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100.00%</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区县合计</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0.00</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0.00</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0.00%</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（五）</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阿勒泰地区合计</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152.60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72.13</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190.39</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84.72%</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34.34</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34.34</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本级</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152.60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72.13</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190.39</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84.72%</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34.34</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34.34</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区县合计</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0.00</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0.00</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0.00%</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（六）</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博州合计</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133.00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84.60</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206.86</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95.06%</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10.74</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10.74</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本级</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113.00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84.54</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186.80</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94.56%</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10.74</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10.74</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区县合计</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0.06</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20.06</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100.00%</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（七）</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昌吉州合计</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204.00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237.92</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391.38</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88.56%</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50.54</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50.54</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本级</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204.00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237.92</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391.38</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88.56%</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50.54</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50.54</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区县合计</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0.00</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0.00</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0.00%</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（八）</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吐鲁番市合计</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137.70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88.14</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177.72</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78.69%</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48.12</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48.12</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本级</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134.70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59.14</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160.07</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82.58%</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33.77</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33.77</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区县合计</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3.00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29.00</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17.65</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55.16%</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14.35</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14.35</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（九）</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哈密市合计</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119.00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103.05</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222.05</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100.00%</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本级</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119.00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83.05</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202.05</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100.00%</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区县合计</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20.00</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20.00</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100.00%</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（十）</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巴州合计</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104.00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99.10</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184.65</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90.92%</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18.45</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14.64</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本级</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104.00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88.94</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174.49</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90.44%</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18.45</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14.64</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区县合计</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10.16</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10.16</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100.00%</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（十一）</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阿克苏地区合计</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126.10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378.08</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457.68</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90.78%</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46.5</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46.5</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本级</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126.10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357.09</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436.69</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90.38%</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46.5</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46.5</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区县合计</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20.99</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20.99</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100.00%</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（十二）</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克州合计</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137.60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154.51</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292.11</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100.00%</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本级</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137.60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110.10</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247.70</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100.00%</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区县合计</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44.41</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44.41</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100.00%</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（十三）</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喀什地区合计</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304.00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0.00</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262.39</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86.31%</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41.61</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41.61</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本级</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304.00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0.00</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262.39</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86.31%</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41.61</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41.61</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区县合计</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0.00</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0.00</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0.00%</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（十四）</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和田地区合计</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111.30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257.83</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348.40</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94.38%</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20.73</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20.73</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本级</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111.30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241.20</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342.84</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97.26%</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9.66</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9.66</w:t>
            </w:r>
          </w:p>
        </w:tc>
      </w:tr>
      <w:tr>
        <w:tblPrEx>
          <w:tblCellMar>
            <w:top w:w="0" w:type="dxa"/>
            <w:left w:w="108" w:type="dxa"/>
            <w:bottom w:w="0" w:type="dxa"/>
            <w:right w:w="108" w:type="dxa"/>
          </w:tblCellMar>
        </w:tblPrEx>
        <w:trPr>
          <w:trHeight w:val="286" w:hRule="atLeast"/>
        </w:trPr>
        <w:tc>
          <w:tcPr>
            <w:tcW w:w="51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2</w:t>
            </w:r>
          </w:p>
        </w:tc>
        <w:tc>
          <w:tcPr>
            <w:tcW w:w="9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both"/>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区县合计</w:t>
            </w:r>
          </w:p>
        </w:tc>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16.63</w:t>
            </w:r>
          </w:p>
        </w:tc>
        <w:tc>
          <w:tcPr>
            <w:tcW w:w="5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5.56</w:t>
            </w:r>
          </w:p>
        </w:tc>
        <w:tc>
          <w:tcPr>
            <w:tcW w:w="6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33.43%</w:t>
            </w:r>
          </w:p>
        </w:tc>
        <w:tc>
          <w:tcPr>
            <w:tcW w:w="60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11.07</w:t>
            </w:r>
          </w:p>
        </w:tc>
        <w:tc>
          <w:tcPr>
            <w:tcW w:w="5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textAlignment w:val="center"/>
              <w:rPr>
                <w:rFonts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eastAsia="zh-CN"/>
              </w:rPr>
              <w:t>11.07</w:t>
            </w:r>
          </w:p>
        </w:tc>
      </w:tr>
    </w:tbl>
    <w:p>
      <w:pPr>
        <w:pStyle w:val="38"/>
        <w:spacing w:after="0" w:line="560" w:lineRule="exact"/>
        <w:ind w:firstLine="642" w:firstLineChars="200"/>
        <w:jc w:val="both"/>
        <w:rPr>
          <w:rFonts w:hint="eastAsia" w:ascii="仿宋_GB2312" w:hAnsi="仿宋_GB2312" w:eastAsia="仿宋_GB2312" w:cs="仿宋_GB2312"/>
          <w:snapToGrid w:val="0"/>
          <w:color w:val="auto"/>
          <w:spacing w:val="1"/>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eastAsia="zh-CN"/>
        </w:rPr>
        <w:t>注:</w:t>
      </w:r>
      <w:r>
        <w:rPr>
          <w:rFonts w:hint="eastAsia" w:ascii="仿宋_GB2312" w:hAnsi="仿宋_GB2312" w:eastAsia="仿宋_GB2312" w:cs="仿宋_GB2312"/>
          <w:snapToGrid w:val="0"/>
          <w:color w:val="auto"/>
          <w:spacing w:val="1"/>
          <w:sz w:val="32"/>
          <w:szCs w:val="32"/>
          <w:highlight w:val="none"/>
          <w:lang w:val="en-US" w:eastAsia="zh-CN" w:bidi="ar-SA"/>
        </w:rPr>
        <w:t>2024年结余资金中有169.61万元为地州结余资金超过2年未支付，当地财政收回，不再拨付当地医保部门，故2025年</w:t>
      </w:r>
      <w:r>
        <w:rPr>
          <w:rFonts w:hint="eastAsia" w:ascii="仿宋_GB2312" w:hAnsi="仿宋_GB2312" w:eastAsia="仿宋_GB2312" w:cs="仿宋_GB2312"/>
          <w:snapToGrid w:val="0"/>
          <w:color w:val="auto"/>
          <w:spacing w:val="1"/>
          <w:sz w:val="32"/>
          <w:szCs w:val="32"/>
          <w:highlight w:val="none"/>
          <w:lang w:val="en-US" w:eastAsia="zh-CN" w:bidi="ar-SA"/>
        </w:rPr>
        <w:t>自治区医疗保障局</w:t>
      </w:r>
      <w:r>
        <w:rPr>
          <w:rFonts w:hint="eastAsia" w:ascii="仿宋_GB2312" w:hAnsi="仿宋_GB2312" w:eastAsia="仿宋_GB2312" w:cs="仿宋_GB2312"/>
          <w:snapToGrid w:val="0"/>
          <w:color w:val="auto"/>
          <w:spacing w:val="1"/>
          <w:sz w:val="32"/>
          <w:szCs w:val="32"/>
          <w:highlight w:val="none"/>
          <w:lang w:val="en-US" w:eastAsia="zh-CN" w:bidi="ar-SA"/>
        </w:rPr>
        <w:t>可用上年结余资金为1588.17万元。</w:t>
      </w:r>
    </w:p>
    <w:p>
      <w:pPr>
        <w:pStyle w:val="7"/>
        <w:numPr>
          <w:ilvl w:val="0"/>
          <w:numId w:val="2"/>
        </w:numPr>
        <w:spacing w:line="560" w:lineRule="exact"/>
        <w:ind w:firstLine="628" w:firstLineChars="200"/>
        <w:jc w:val="both"/>
        <w:rPr>
          <w:rFonts w:ascii="楷体_GB2312" w:hAnsi="楷体_GB2312" w:eastAsia="楷体_GB2312" w:cs="楷体_GB2312"/>
          <w:color w:val="auto"/>
          <w:spacing w:val="-3"/>
          <w:sz w:val="32"/>
          <w:szCs w:val="32"/>
          <w:highlight w:val="none"/>
          <w:lang w:eastAsia="zh-CN"/>
        </w:rPr>
      </w:pPr>
      <w:r>
        <w:rPr>
          <w:rFonts w:hint="eastAsia" w:ascii="楷体_GB2312" w:hAnsi="楷体_GB2312" w:eastAsia="楷体_GB2312" w:cs="楷体_GB2312"/>
          <w:color w:val="auto"/>
          <w:spacing w:val="-3"/>
          <w:sz w:val="32"/>
          <w:szCs w:val="32"/>
          <w:highlight w:val="none"/>
          <w:lang w:eastAsia="zh-CN"/>
        </w:rPr>
        <w:t>资金管理情况分析</w:t>
      </w:r>
    </w:p>
    <w:p>
      <w:pPr>
        <w:pStyle w:val="7"/>
        <w:spacing w:line="560" w:lineRule="exact"/>
        <w:ind w:firstLine="644" w:firstLineChars="200"/>
        <w:jc w:val="both"/>
        <w:rPr>
          <w:rFonts w:hint="eastAsia" w:ascii="仿宋_GB2312" w:hAnsi="仿宋_GB2312" w:eastAsia="仿宋_GB2312" w:cs="仿宋_GB2312"/>
          <w:b w:val="0"/>
          <w:bCs w:val="0"/>
          <w:color w:val="auto"/>
          <w:kern w:val="2"/>
          <w:sz w:val="32"/>
          <w:szCs w:val="32"/>
          <w:highlight w:val="none"/>
          <w:lang w:eastAsia="zh-CN"/>
        </w:rPr>
      </w:pPr>
      <w:r>
        <w:rPr>
          <w:rFonts w:hint="eastAsia" w:ascii="仿宋_GB2312" w:hAnsi="仿宋_GB2312" w:eastAsia="仿宋_GB2312" w:cs="仿宋_GB2312"/>
          <w:snapToGrid w:val="0"/>
          <w:color w:val="auto"/>
          <w:spacing w:val="1"/>
          <w:sz w:val="32"/>
          <w:szCs w:val="32"/>
          <w:highlight w:val="none"/>
          <w:lang w:val="en-US" w:eastAsia="zh-CN" w:bidi="ar-SA"/>
        </w:rPr>
        <w:t>按照《财政部 国家卫生健康委 国家医保局 国家中医药局 国家疾控局关于修订基本公共卫生服务等5项补助资金管理办法的通知》(财社〔2022〕31号)要求，</w:t>
      </w:r>
      <w:r>
        <w:rPr>
          <w:rFonts w:hint="eastAsia" w:ascii="仿宋_GB2312" w:hAnsi="仿宋_GB2312" w:eastAsia="仿宋_GB2312" w:cs="仿宋_GB2312"/>
          <w:snapToGrid w:val="0"/>
          <w:color w:val="auto"/>
          <w:spacing w:val="1"/>
          <w:sz w:val="32"/>
          <w:szCs w:val="32"/>
          <w:highlight w:val="none"/>
          <w:lang w:val="en-US" w:eastAsia="zh-CN" w:bidi="ar-SA"/>
        </w:rPr>
        <w:t>制定了</w:t>
      </w:r>
      <w:r>
        <w:rPr>
          <w:rFonts w:hint="eastAsia" w:ascii="仿宋_GB2312" w:hAnsi="仿宋_GB2312" w:eastAsia="仿宋_GB2312" w:cs="仿宋_GB2312"/>
          <w:snapToGrid w:val="0"/>
          <w:color w:val="auto"/>
          <w:spacing w:val="1"/>
          <w:sz w:val="32"/>
          <w:szCs w:val="32"/>
          <w:highlight w:val="none"/>
          <w:lang w:val="en-US" w:eastAsia="zh-CN" w:bidi="ar-SA"/>
        </w:rPr>
        <w:t>《关于印发基本公共卫生服务等5项补助资金管理办法的通知》（新财规〔2020〕7号）和《新疆维吾尔自治区医疗服务与保障补助资金(医疗保障服务能力建设部分)管理暂行办法》的通知（新医保办〔2023〕35 号）。具体做法是：</w:t>
      </w:r>
      <w:r>
        <w:rPr>
          <w:rFonts w:hint="eastAsia" w:ascii="仿宋_GB2312" w:hAnsi="仿宋_GB2312" w:eastAsia="仿宋_GB2312" w:cs="仿宋_GB2312"/>
          <w:snapToGrid w:val="0"/>
          <w:color w:val="auto"/>
          <w:spacing w:val="1"/>
          <w:sz w:val="32"/>
          <w:szCs w:val="32"/>
          <w:highlight w:val="none"/>
          <w:lang w:val="en-US" w:eastAsia="zh-CN" w:bidi="ar-SA"/>
        </w:rPr>
        <w:t>一是高度重视医保转移支付资金管理工作，专门召开党组会研究资金分配使用方案。二是能力提升补助资金纳入直达资金管理。</w:t>
      </w:r>
      <w:r>
        <w:rPr>
          <w:rFonts w:hint="eastAsia" w:ascii="仿宋_GB2312" w:hAnsi="仿宋_GB2312" w:eastAsia="仿宋_GB2312" w:cs="仿宋_GB2312"/>
          <w:snapToGrid w:val="0"/>
          <w:color w:val="auto"/>
          <w:spacing w:val="1"/>
          <w:sz w:val="32"/>
          <w:szCs w:val="32"/>
          <w:highlight w:val="none"/>
          <w:lang w:val="en-US" w:eastAsia="zh-CN" w:bidi="ar-SA"/>
        </w:rPr>
        <w:t>三是每月要求各地（州、市）报送《2024年医疗服务与保障补助资金(医疗保障服务能力建设部分)预算执行情况表》，</w:t>
      </w:r>
      <w:r>
        <w:rPr>
          <w:rFonts w:hint="eastAsia" w:ascii="仿宋_GB2312" w:hAnsi="仿宋_GB2312" w:eastAsia="仿宋_GB2312" w:cs="仿宋_GB2312"/>
          <w:snapToGrid w:val="0"/>
          <w:color w:val="auto"/>
          <w:spacing w:val="1"/>
          <w:sz w:val="32"/>
          <w:szCs w:val="32"/>
          <w:highlight w:val="none"/>
          <w:lang w:val="en-US" w:eastAsia="zh-CN" w:bidi="ar-SA"/>
        </w:rPr>
        <w:t>定期开展资金执行情况分析，督促</w:t>
      </w:r>
      <w:r>
        <w:rPr>
          <w:rFonts w:hint="eastAsia" w:ascii="仿宋_GB2312" w:hAnsi="仿宋_GB2312" w:eastAsia="仿宋_GB2312" w:cs="仿宋_GB2312"/>
          <w:snapToGrid w:val="0"/>
          <w:color w:val="auto"/>
          <w:spacing w:val="1"/>
          <w:sz w:val="32"/>
          <w:szCs w:val="32"/>
          <w:highlight w:val="none"/>
          <w:lang w:val="en-US" w:eastAsia="zh-CN" w:bidi="ar-SA"/>
        </w:rPr>
        <w:t>资金执行情况；</w:t>
      </w:r>
      <w:r>
        <w:rPr>
          <w:rFonts w:hint="eastAsia" w:ascii="仿宋_GB2312" w:hAnsi="仿宋_GB2312" w:eastAsia="仿宋_GB2312" w:cs="仿宋_GB2312"/>
          <w:snapToGrid w:val="0"/>
          <w:color w:val="auto"/>
          <w:spacing w:val="1"/>
          <w:sz w:val="32"/>
          <w:szCs w:val="32"/>
          <w:highlight w:val="none"/>
          <w:lang w:val="en-US" w:eastAsia="zh-CN" w:bidi="ar-SA"/>
        </w:rPr>
        <w:t>四是做到专款专用、及时拨付、规范支付，确保能力提升补助资金项目顺利实施。</w:t>
      </w:r>
    </w:p>
    <w:p>
      <w:pPr>
        <w:pStyle w:val="7"/>
        <w:numPr>
          <w:ilvl w:val="0"/>
          <w:numId w:val="3"/>
        </w:numPr>
        <w:spacing w:line="560" w:lineRule="exact"/>
        <w:ind w:left="420" w:leftChars="200"/>
        <w:jc w:val="both"/>
        <w:rPr>
          <w:rFonts w:ascii="仿宋_GB2312" w:hAnsi="仿宋_GB2312" w:eastAsia="仿宋_GB2312" w:cs="仿宋_GB2312"/>
          <w:b/>
          <w:bCs/>
          <w:color w:val="auto"/>
          <w:spacing w:val="-3"/>
          <w:sz w:val="32"/>
          <w:szCs w:val="32"/>
          <w:highlight w:val="none"/>
          <w:lang w:eastAsia="zh-CN"/>
        </w:rPr>
      </w:pPr>
      <w:r>
        <w:rPr>
          <w:rFonts w:hint="eastAsia" w:ascii="仿宋_GB2312" w:hAnsi="仿宋_GB2312" w:eastAsia="仿宋_GB2312" w:cs="仿宋_GB2312"/>
          <w:b/>
          <w:bCs/>
          <w:color w:val="auto"/>
          <w:spacing w:val="-3"/>
          <w:sz w:val="32"/>
          <w:szCs w:val="32"/>
          <w:highlight w:val="none"/>
          <w:lang w:eastAsia="zh-CN"/>
        </w:rPr>
        <w:t>资金分配科学性</w:t>
      </w:r>
    </w:p>
    <w:p>
      <w:pPr>
        <w:pStyle w:val="7"/>
        <w:spacing w:line="560" w:lineRule="exact"/>
        <w:ind w:firstLine="644" w:firstLineChars="200"/>
        <w:jc w:val="both"/>
        <w:rPr>
          <w:rFonts w:hint="eastAsia" w:ascii="仿宋_GB2312" w:hAnsi="仿宋_GB2312" w:eastAsia="仿宋_GB2312" w:cs="仿宋_GB2312"/>
          <w:snapToGrid w:val="0"/>
          <w:color w:val="auto"/>
          <w:spacing w:val="1"/>
          <w:sz w:val="32"/>
          <w:szCs w:val="32"/>
          <w:highlight w:val="none"/>
          <w:lang w:val="en-US" w:eastAsia="zh-CN" w:bidi="ar-SA"/>
        </w:rPr>
      </w:pPr>
      <w:r>
        <w:rPr>
          <w:rFonts w:hint="eastAsia" w:ascii="仿宋_GB2312" w:hAnsi="仿宋_GB2312" w:eastAsia="仿宋_GB2312" w:cs="仿宋_GB2312"/>
          <w:snapToGrid w:val="0"/>
          <w:color w:val="auto"/>
          <w:spacing w:val="1"/>
          <w:sz w:val="32"/>
          <w:szCs w:val="32"/>
          <w:highlight w:val="none"/>
          <w:lang w:val="en-US" w:eastAsia="zh-CN" w:bidi="ar-SA"/>
        </w:rPr>
        <w:t>按照《财政部办公厅 国家医保局办公室关于切实做好医疗服务与保障能力提升补助资金(医疗保障服务能力建设部分)预算执行管理工作的通知》(财办社〔2022〕47号)要求，结合我区实际，严格按照转移支付管理制度以及资金管理办法规定的范围和标准科学分配资金。</w:t>
      </w:r>
    </w:p>
    <w:p>
      <w:pPr>
        <w:pStyle w:val="7"/>
        <w:numPr>
          <w:ilvl w:val="0"/>
          <w:numId w:val="3"/>
        </w:numPr>
        <w:spacing w:line="560" w:lineRule="exact"/>
        <w:ind w:left="420" w:leftChars="200"/>
        <w:jc w:val="both"/>
        <w:rPr>
          <w:rFonts w:ascii="仿宋_GB2312" w:hAnsi="仿宋_GB2312" w:eastAsia="仿宋_GB2312" w:cs="仿宋_GB2312"/>
          <w:b/>
          <w:bCs/>
          <w:color w:val="auto"/>
          <w:spacing w:val="-3"/>
          <w:sz w:val="32"/>
          <w:szCs w:val="32"/>
          <w:highlight w:val="none"/>
          <w:lang w:eastAsia="zh-CN"/>
        </w:rPr>
      </w:pPr>
      <w:r>
        <w:rPr>
          <w:rFonts w:hint="eastAsia" w:ascii="仿宋_GB2312" w:hAnsi="仿宋_GB2312" w:eastAsia="仿宋_GB2312" w:cs="仿宋_GB2312"/>
          <w:b/>
          <w:bCs/>
          <w:color w:val="auto"/>
          <w:spacing w:val="-3"/>
          <w:sz w:val="32"/>
          <w:szCs w:val="32"/>
          <w:highlight w:val="none"/>
          <w:lang w:eastAsia="zh-CN"/>
        </w:rPr>
        <w:t>资金下达及时性</w:t>
      </w:r>
    </w:p>
    <w:p>
      <w:pPr>
        <w:pStyle w:val="7"/>
        <w:spacing w:line="560" w:lineRule="exact"/>
        <w:ind w:firstLine="644" w:firstLineChars="200"/>
        <w:jc w:val="both"/>
        <w:rPr>
          <w:rFonts w:hint="eastAsia" w:ascii="仿宋_GB2312" w:hAnsi="仿宋_GB2312" w:eastAsia="仿宋_GB2312" w:cs="仿宋_GB2312"/>
          <w:snapToGrid w:val="0"/>
          <w:color w:val="auto"/>
          <w:spacing w:val="1"/>
          <w:sz w:val="32"/>
          <w:szCs w:val="32"/>
          <w:highlight w:val="none"/>
          <w:lang w:val="en-US" w:eastAsia="zh-CN" w:bidi="ar-SA"/>
        </w:rPr>
      </w:pPr>
      <w:r>
        <w:rPr>
          <w:rFonts w:hint="eastAsia" w:ascii="仿宋_GB2312" w:hAnsi="仿宋_GB2312" w:eastAsia="仿宋_GB2312" w:cs="仿宋_GB2312"/>
          <w:snapToGrid w:val="0"/>
          <w:color w:val="auto"/>
          <w:spacing w:val="1"/>
          <w:sz w:val="32"/>
          <w:szCs w:val="32"/>
          <w:highlight w:val="none"/>
          <w:lang w:val="en-US" w:eastAsia="zh-CN" w:bidi="ar-SA"/>
        </w:rPr>
        <w:t>自治区在收到</w:t>
      </w:r>
      <w:r>
        <w:rPr>
          <w:rFonts w:hint="eastAsia" w:ascii="仿宋_GB2312" w:hAnsi="仿宋_GB2312" w:eastAsia="仿宋_GB2312" w:cs="仿宋_GB2312"/>
          <w:snapToGrid w:val="0"/>
          <w:color w:val="auto"/>
          <w:spacing w:val="1"/>
          <w:sz w:val="32"/>
          <w:szCs w:val="32"/>
          <w:highlight w:val="none"/>
          <w:lang w:val="en-US" w:eastAsia="zh-CN" w:bidi="ar-SA"/>
        </w:rPr>
        <w:t>资金下达通知后，在30个工作日内将资金下达至各地（州、市），2023年12月16日，</w:t>
      </w:r>
      <w:r>
        <w:rPr>
          <w:rFonts w:hint="eastAsia" w:ascii="仿宋_GB2312" w:hAnsi="仿宋_GB2312" w:eastAsia="仿宋_GB2312" w:cs="仿宋_GB2312"/>
          <w:snapToGrid w:val="0"/>
          <w:color w:val="auto"/>
          <w:spacing w:val="1"/>
          <w:sz w:val="32"/>
          <w:szCs w:val="32"/>
          <w:highlight w:val="none"/>
          <w:lang w:val="en-US" w:eastAsia="zh-CN" w:bidi="ar-SA"/>
        </w:rPr>
        <w:t>自治区财政厅、自治区医疗保障局联合印发</w:t>
      </w:r>
      <w:r>
        <w:rPr>
          <w:rFonts w:hint="eastAsia" w:ascii="仿宋_GB2312" w:hAnsi="仿宋_GB2312" w:eastAsia="仿宋_GB2312" w:cs="仿宋_GB2312"/>
          <w:snapToGrid w:val="0"/>
          <w:color w:val="auto"/>
          <w:spacing w:val="1"/>
          <w:sz w:val="32"/>
          <w:szCs w:val="32"/>
          <w:highlight w:val="none"/>
          <w:lang w:val="en-US" w:eastAsia="zh-CN" w:bidi="ar-SA"/>
        </w:rPr>
        <w:t>《关于提前下达2024年中央财政医疗服务与保障能力提升补助资金(医疗保障服务能力建设部分)预算的通知》（新财社〔2023〕191号）分解下达中央资金8315万元；2024年5月24日，自治区《关于下达2024年中央财政医疗服务与保障能力提升补助资金(医疗保障服务能力建设部分)预算的通知》（新财社〔2024〕36号）分解下达中央资金2185万元。</w:t>
      </w:r>
      <w:r>
        <w:rPr>
          <w:rFonts w:hint="eastAsia" w:ascii="仿宋_GB2312" w:hAnsi="仿宋_GB2312" w:eastAsia="仿宋_GB2312" w:cs="仿宋_GB2312"/>
          <w:snapToGrid w:val="0"/>
          <w:color w:val="auto"/>
          <w:spacing w:val="1"/>
          <w:sz w:val="32"/>
          <w:szCs w:val="32"/>
          <w:highlight w:val="none"/>
          <w:lang w:val="en-US" w:eastAsia="zh-CN" w:bidi="ar-SA"/>
        </w:rPr>
        <w:t>严格落实</w:t>
      </w:r>
      <w:r>
        <w:rPr>
          <w:rFonts w:hint="eastAsia" w:ascii="仿宋_GB2312" w:hAnsi="仿宋_GB2312" w:eastAsia="仿宋_GB2312" w:cs="仿宋_GB2312"/>
          <w:snapToGrid w:val="0"/>
          <w:color w:val="auto"/>
          <w:spacing w:val="1"/>
          <w:sz w:val="32"/>
          <w:szCs w:val="32"/>
          <w:highlight w:val="none"/>
          <w:lang w:val="en-US" w:eastAsia="zh-CN" w:bidi="ar-SA"/>
        </w:rPr>
        <w:t>预算法及其实施条例、转移支付管理制度规定以及资金管理办法规定的时限要求及时下达资金。</w:t>
      </w:r>
    </w:p>
    <w:p>
      <w:pPr>
        <w:pStyle w:val="7"/>
        <w:numPr>
          <w:ilvl w:val="0"/>
          <w:numId w:val="3"/>
        </w:numPr>
        <w:spacing w:line="560" w:lineRule="exact"/>
        <w:ind w:left="420" w:leftChars="200"/>
        <w:jc w:val="both"/>
        <w:rPr>
          <w:rFonts w:ascii="仿宋_GB2312" w:hAnsi="仿宋_GB2312" w:eastAsia="仿宋_GB2312" w:cs="仿宋_GB2312"/>
          <w:b/>
          <w:bCs/>
          <w:color w:val="auto"/>
          <w:spacing w:val="-3"/>
          <w:sz w:val="32"/>
          <w:szCs w:val="32"/>
          <w:highlight w:val="none"/>
          <w:lang w:eastAsia="zh-CN"/>
        </w:rPr>
      </w:pPr>
      <w:r>
        <w:rPr>
          <w:rFonts w:hint="eastAsia" w:ascii="仿宋_GB2312" w:hAnsi="仿宋_GB2312" w:eastAsia="仿宋_GB2312" w:cs="仿宋_GB2312"/>
          <w:b/>
          <w:bCs/>
          <w:color w:val="auto"/>
          <w:spacing w:val="-3"/>
          <w:sz w:val="32"/>
          <w:szCs w:val="32"/>
          <w:highlight w:val="none"/>
          <w:lang w:eastAsia="zh-CN"/>
        </w:rPr>
        <w:t>资金拨付合规性</w:t>
      </w:r>
    </w:p>
    <w:p>
      <w:pPr>
        <w:pStyle w:val="7"/>
        <w:spacing w:line="560" w:lineRule="exact"/>
        <w:ind w:firstLine="644" w:firstLineChars="200"/>
        <w:jc w:val="both"/>
        <w:rPr>
          <w:rFonts w:hint="eastAsia" w:ascii="仿宋_GB2312" w:hAnsi="仿宋_GB2312" w:eastAsia="仿宋_GB2312" w:cs="仿宋_GB2312"/>
          <w:snapToGrid w:val="0"/>
          <w:color w:val="auto"/>
          <w:spacing w:val="1"/>
          <w:sz w:val="32"/>
          <w:szCs w:val="32"/>
          <w:highlight w:val="none"/>
          <w:lang w:val="en-US" w:eastAsia="zh-CN" w:bidi="ar-SA"/>
        </w:rPr>
      </w:pPr>
      <w:r>
        <w:rPr>
          <w:rFonts w:hint="eastAsia" w:ascii="仿宋_GB2312" w:hAnsi="仿宋_GB2312" w:eastAsia="仿宋_GB2312" w:cs="仿宋_GB2312"/>
          <w:snapToGrid w:val="0"/>
          <w:color w:val="auto"/>
          <w:spacing w:val="1"/>
          <w:sz w:val="32"/>
          <w:szCs w:val="32"/>
          <w:highlight w:val="none"/>
          <w:lang w:val="en-US" w:eastAsia="zh-CN" w:bidi="ar-SA"/>
        </w:rPr>
        <w:t>按照《新疆维吾尔自治区医疗服务与保障补助资金(医疗保障服务能力建设部分)管理暂行办法》的通知（新医保办〔2023〕35 号）要求，</w:t>
      </w:r>
      <w:r>
        <w:rPr>
          <w:rFonts w:hint="eastAsia" w:ascii="仿宋_GB2312" w:hAnsi="仿宋_GB2312" w:eastAsia="仿宋_GB2312" w:cs="仿宋_GB2312"/>
          <w:snapToGrid w:val="0"/>
          <w:color w:val="auto"/>
          <w:spacing w:val="1"/>
          <w:sz w:val="32"/>
          <w:szCs w:val="32"/>
          <w:highlight w:val="none"/>
          <w:lang w:val="en-US" w:eastAsia="zh-CN" w:bidi="ar-SA"/>
        </w:rPr>
        <w:t>自治区医疗保障局严格按照规定分配资金，并将资金分配方案报财政厅主管业务处室审核，审核通过后印发资金拨付文件。</w:t>
      </w:r>
      <w:r>
        <w:rPr>
          <w:rFonts w:hint="eastAsia" w:ascii="仿宋_GB2312" w:hAnsi="仿宋_GB2312" w:eastAsia="仿宋_GB2312" w:cs="仿宋_GB2312"/>
          <w:snapToGrid w:val="0"/>
          <w:color w:val="auto"/>
          <w:spacing w:val="1"/>
          <w:sz w:val="32"/>
          <w:szCs w:val="32"/>
          <w:highlight w:val="none"/>
          <w:lang w:val="en-US" w:eastAsia="zh-CN" w:bidi="ar-SA"/>
        </w:rPr>
        <w:t>各级医保部门遵循“谁使用、谁负责”责任机制，加强专项资金管理，同时定期做好资金绩效监控，提高预算管理水平，加强资金跟踪监管。</w:t>
      </w:r>
      <w:r>
        <w:rPr>
          <w:rFonts w:hint="eastAsia" w:ascii="仿宋_GB2312" w:hAnsi="仿宋_GB2312" w:eastAsia="仿宋_GB2312" w:cs="仿宋_GB2312"/>
          <w:snapToGrid w:val="0"/>
          <w:color w:val="auto"/>
          <w:spacing w:val="1"/>
          <w:sz w:val="32"/>
          <w:szCs w:val="32"/>
          <w:highlight w:val="none"/>
          <w:lang w:val="en-US" w:eastAsia="zh-CN" w:bidi="ar-SA"/>
        </w:rPr>
        <w:t>各级财政部门</w:t>
      </w:r>
      <w:r>
        <w:rPr>
          <w:rFonts w:hint="eastAsia" w:ascii="仿宋_GB2312" w:hAnsi="仿宋_GB2312" w:eastAsia="仿宋_GB2312" w:cs="仿宋_GB2312"/>
          <w:snapToGrid w:val="0"/>
          <w:color w:val="auto"/>
          <w:spacing w:val="1"/>
          <w:sz w:val="32"/>
          <w:szCs w:val="32"/>
          <w:highlight w:val="none"/>
          <w:lang w:val="en-US" w:eastAsia="zh-CN" w:bidi="ar-SA"/>
        </w:rPr>
        <w:t>严格按照国库集中支付制度有关规定支付资金，未出现违规将资金从国库转入财政专户或支付到预算单位实有资金账户等问题。</w:t>
      </w:r>
    </w:p>
    <w:p>
      <w:pPr>
        <w:pStyle w:val="7"/>
        <w:numPr>
          <w:ilvl w:val="0"/>
          <w:numId w:val="3"/>
        </w:numPr>
        <w:spacing w:line="560" w:lineRule="exact"/>
        <w:ind w:left="420" w:leftChars="200"/>
        <w:jc w:val="both"/>
        <w:rPr>
          <w:rFonts w:ascii="仿宋_GB2312" w:hAnsi="仿宋_GB2312" w:eastAsia="仿宋_GB2312" w:cs="仿宋_GB2312"/>
          <w:b/>
          <w:bCs/>
          <w:color w:val="auto"/>
          <w:spacing w:val="-3"/>
          <w:sz w:val="32"/>
          <w:szCs w:val="32"/>
          <w:highlight w:val="none"/>
          <w:lang w:eastAsia="zh-CN"/>
        </w:rPr>
      </w:pPr>
      <w:r>
        <w:rPr>
          <w:rFonts w:hint="eastAsia" w:ascii="仿宋_GB2312" w:hAnsi="仿宋_GB2312" w:eastAsia="仿宋_GB2312" w:cs="仿宋_GB2312"/>
          <w:b/>
          <w:bCs/>
          <w:color w:val="auto"/>
          <w:spacing w:val="-3"/>
          <w:sz w:val="32"/>
          <w:szCs w:val="32"/>
          <w:highlight w:val="none"/>
          <w:lang w:eastAsia="zh-CN"/>
        </w:rPr>
        <w:t>资金使用规范性</w:t>
      </w:r>
    </w:p>
    <w:p>
      <w:pPr>
        <w:pStyle w:val="7"/>
        <w:spacing w:line="560" w:lineRule="exact"/>
        <w:ind w:firstLine="644" w:firstLineChars="200"/>
        <w:jc w:val="both"/>
        <w:rPr>
          <w:rFonts w:hint="eastAsia" w:ascii="仿宋_GB2312" w:hAnsi="仿宋_GB2312" w:eastAsia="仿宋_GB2312" w:cs="仿宋_GB2312"/>
          <w:snapToGrid w:val="0"/>
          <w:color w:val="auto"/>
          <w:spacing w:val="1"/>
          <w:sz w:val="32"/>
          <w:szCs w:val="32"/>
          <w:highlight w:val="none"/>
          <w:lang w:val="en-US" w:eastAsia="zh-CN" w:bidi="ar-SA"/>
        </w:rPr>
      </w:pPr>
      <w:r>
        <w:rPr>
          <w:rFonts w:hint="eastAsia" w:ascii="仿宋_GB2312" w:hAnsi="仿宋_GB2312" w:eastAsia="仿宋_GB2312" w:cs="仿宋_GB2312"/>
          <w:snapToGrid w:val="0"/>
          <w:color w:val="auto"/>
          <w:spacing w:val="1"/>
          <w:sz w:val="32"/>
          <w:szCs w:val="32"/>
          <w:highlight w:val="none"/>
          <w:lang w:val="en-US" w:eastAsia="zh-CN" w:bidi="ar-SA"/>
        </w:rPr>
        <w:t>自治区医疗保障局</w:t>
      </w:r>
      <w:r>
        <w:rPr>
          <w:rFonts w:hint="eastAsia" w:ascii="仿宋_GB2312" w:hAnsi="仿宋_GB2312" w:eastAsia="仿宋_GB2312" w:cs="仿宋_GB2312"/>
          <w:snapToGrid w:val="0"/>
          <w:color w:val="auto"/>
          <w:spacing w:val="1"/>
          <w:sz w:val="32"/>
          <w:szCs w:val="32"/>
          <w:highlight w:val="none"/>
          <w:lang w:val="en-US" w:eastAsia="zh-CN" w:bidi="ar-SA"/>
        </w:rPr>
        <w:t>严格执行《财政部办公厅 国家医保局办公室关于切实做好医疗服务与保障能力提升补助资金（医疗保障服务能力建设部分）预算执行管理工作的通知》（财办社〔2022〕47号）要求，</w:t>
      </w:r>
      <w:r>
        <w:rPr>
          <w:rFonts w:hint="eastAsia" w:ascii="仿宋_GB2312" w:hAnsi="仿宋_GB2312" w:eastAsia="仿宋_GB2312" w:cs="仿宋_GB2312"/>
          <w:snapToGrid w:val="0"/>
          <w:color w:val="auto"/>
          <w:spacing w:val="1"/>
          <w:sz w:val="32"/>
          <w:szCs w:val="32"/>
          <w:highlight w:val="none"/>
          <w:lang w:val="en-US" w:eastAsia="zh-CN" w:bidi="ar-SA"/>
        </w:rPr>
        <w:t>能力提升</w:t>
      </w:r>
      <w:r>
        <w:rPr>
          <w:rFonts w:hint="eastAsia" w:ascii="仿宋_GB2312" w:hAnsi="仿宋_GB2312" w:eastAsia="仿宋_GB2312" w:cs="仿宋_GB2312"/>
          <w:snapToGrid w:val="0"/>
          <w:color w:val="auto"/>
          <w:spacing w:val="1"/>
          <w:sz w:val="32"/>
          <w:szCs w:val="32"/>
          <w:highlight w:val="none"/>
          <w:lang w:val="en-US" w:eastAsia="zh-CN" w:bidi="ar-SA"/>
        </w:rPr>
        <w:t>补助资金主要用于医保信息化标准化、基金监管、医保支付方式改革、经办管理服务体系建设、药品和医用耗材集中带量采购、医疗服务价格改革、医保目录实施监管等方面，确保资金合规高效利用。严格按照下达预算的科目和项目执行，未出现截留、挤占、挪用或擅自调整等问题，资金使用规范。</w:t>
      </w:r>
    </w:p>
    <w:p>
      <w:pPr>
        <w:pStyle w:val="7"/>
        <w:numPr>
          <w:ilvl w:val="0"/>
          <w:numId w:val="0"/>
        </w:numPr>
        <w:spacing w:line="560" w:lineRule="exact"/>
        <w:ind w:firstLine="630" w:firstLineChars="200"/>
        <w:jc w:val="both"/>
        <w:rPr>
          <w:rFonts w:hint="eastAsia" w:ascii="仿宋_GB2312" w:hAnsi="仿宋_GB2312" w:eastAsia="仿宋_GB2312" w:cs="仿宋_GB2312"/>
          <w:b/>
          <w:bCs/>
          <w:color w:val="auto"/>
          <w:spacing w:val="-3"/>
          <w:sz w:val="32"/>
          <w:szCs w:val="32"/>
          <w:highlight w:val="none"/>
          <w:lang w:eastAsia="zh-CN"/>
        </w:rPr>
      </w:pPr>
      <w:r>
        <w:rPr>
          <w:rFonts w:hint="eastAsia" w:ascii="仿宋_GB2312" w:hAnsi="仿宋_GB2312" w:eastAsia="仿宋_GB2312" w:cs="仿宋_GB2312"/>
          <w:b/>
          <w:bCs/>
          <w:color w:val="auto"/>
          <w:spacing w:val="-3"/>
          <w:sz w:val="32"/>
          <w:szCs w:val="32"/>
          <w:highlight w:val="none"/>
          <w:lang w:val="en-US" w:eastAsia="zh-CN"/>
        </w:rPr>
        <w:t>5.</w:t>
      </w:r>
      <w:r>
        <w:rPr>
          <w:rFonts w:hint="eastAsia" w:ascii="仿宋_GB2312" w:hAnsi="仿宋_GB2312" w:eastAsia="仿宋_GB2312" w:cs="仿宋_GB2312"/>
          <w:b/>
          <w:bCs/>
          <w:color w:val="auto"/>
          <w:spacing w:val="-3"/>
          <w:sz w:val="32"/>
          <w:szCs w:val="32"/>
          <w:highlight w:val="none"/>
          <w:lang w:eastAsia="zh-CN"/>
        </w:rPr>
        <w:t>资金执行准确性</w:t>
      </w:r>
    </w:p>
    <w:p>
      <w:pPr>
        <w:pStyle w:val="7"/>
        <w:spacing w:line="560" w:lineRule="exact"/>
        <w:ind w:firstLine="644" w:firstLineChars="200"/>
        <w:jc w:val="both"/>
        <w:rPr>
          <w:rFonts w:hint="eastAsia" w:ascii="仿宋_GB2312" w:hAnsi="仿宋_GB2312" w:eastAsia="仿宋_GB2312" w:cs="仿宋_GB2312"/>
          <w:snapToGrid w:val="0"/>
          <w:color w:val="auto"/>
          <w:spacing w:val="1"/>
          <w:sz w:val="32"/>
          <w:szCs w:val="32"/>
          <w:highlight w:val="none"/>
          <w:lang w:val="en-US" w:eastAsia="zh-CN" w:bidi="ar-SA"/>
        </w:rPr>
      </w:pPr>
      <w:r>
        <w:rPr>
          <w:rFonts w:hint="eastAsia" w:ascii="仿宋_GB2312" w:hAnsi="仿宋_GB2312" w:eastAsia="仿宋_GB2312" w:cs="仿宋_GB2312"/>
          <w:snapToGrid w:val="0"/>
          <w:color w:val="auto"/>
          <w:spacing w:val="1"/>
          <w:sz w:val="32"/>
          <w:szCs w:val="32"/>
          <w:highlight w:val="none"/>
          <w:lang w:val="en-US" w:eastAsia="zh-CN" w:bidi="ar-SA"/>
        </w:rPr>
        <w:t>自治区医疗保障局</w:t>
      </w:r>
      <w:r>
        <w:rPr>
          <w:rFonts w:hint="eastAsia" w:ascii="仿宋_GB2312" w:hAnsi="仿宋_GB2312" w:eastAsia="仿宋_GB2312" w:cs="仿宋_GB2312"/>
          <w:snapToGrid w:val="0"/>
          <w:color w:val="auto"/>
          <w:spacing w:val="1"/>
          <w:sz w:val="32"/>
          <w:szCs w:val="32"/>
          <w:highlight w:val="none"/>
          <w:lang w:val="en-US" w:eastAsia="zh-CN" w:bidi="ar-SA"/>
        </w:rPr>
        <w:t>严格按照《关于印发《新疆维吾尔自治区医疗服务与保障补助资金(医疗保障服务能力建设部分)管理暂行办法》的通知》（新医保办〔2023〕35号）要求，加强对资金使用情况的监督管理，要求各级医保部门按规定报送预算执行情况及分析报告，严格落实存量资金管理要求，督促并指导各级医保部门及时清理结余结转资金。</w:t>
      </w:r>
    </w:p>
    <w:p>
      <w:pPr>
        <w:numPr>
          <w:ilvl w:val="0"/>
          <w:numId w:val="0"/>
        </w:numPr>
        <w:spacing w:line="560" w:lineRule="exact"/>
        <w:ind w:firstLine="644" w:firstLineChars="200"/>
        <w:jc w:val="both"/>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snapToGrid w:val="0"/>
          <w:color w:val="auto"/>
          <w:spacing w:val="1"/>
          <w:sz w:val="32"/>
          <w:szCs w:val="32"/>
          <w:highlight w:val="none"/>
          <w:lang w:val="en-US" w:eastAsia="zh-CN" w:bidi="ar-SA"/>
        </w:rPr>
        <w:t>自治区医疗保障局</w:t>
      </w:r>
      <w:r>
        <w:rPr>
          <w:rFonts w:hint="eastAsia" w:ascii="仿宋_GB2312" w:hAnsi="仿宋_GB2312" w:eastAsia="仿宋_GB2312" w:cs="仿宋_GB2312"/>
          <w:snapToGrid w:val="0"/>
          <w:color w:val="auto"/>
          <w:spacing w:val="1"/>
          <w:sz w:val="32"/>
          <w:szCs w:val="32"/>
          <w:highlight w:val="none"/>
          <w:lang w:val="en-US" w:eastAsia="zh-CN" w:bidi="ar-SA"/>
        </w:rPr>
        <w:t>2024年度能力提升补助资金执行率为89.6%，</w:t>
      </w:r>
      <w:r>
        <w:rPr>
          <w:rFonts w:hint="eastAsia" w:ascii="仿宋_GB2312" w:hAnsi="仿宋_GB2312" w:eastAsia="仿宋_GB2312" w:cs="仿宋_GB2312"/>
          <w:b w:val="0"/>
          <w:bCs w:val="0"/>
          <w:color w:val="auto"/>
          <w:sz w:val="32"/>
          <w:szCs w:val="32"/>
          <w:highlight w:val="none"/>
          <w:lang w:val="en-US" w:eastAsia="zh-CN"/>
        </w:rPr>
        <w:t>存在主要问题是个别地（州、市）执行率低于90%，主要原因如下：（1）项目签订为跨年合同，2024年底未到支付节点，部分款项尚未支付；（2）低价中标，按照预算有结余资金。</w:t>
      </w:r>
    </w:p>
    <w:p>
      <w:pPr>
        <w:pStyle w:val="7"/>
        <w:spacing w:line="560" w:lineRule="exact"/>
        <w:ind w:firstLine="630" w:firstLineChars="200"/>
        <w:jc w:val="both"/>
        <w:rPr>
          <w:rFonts w:ascii="仿宋_GB2312" w:hAnsi="仿宋_GB2312" w:eastAsia="仿宋_GB2312" w:cs="仿宋_GB2312"/>
          <w:b/>
          <w:bCs/>
          <w:color w:val="auto"/>
          <w:spacing w:val="-3"/>
          <w:sz w:val="32"/>
          <w:szCs w:val="32"/>
          <w:highlight w:val="none"/>
          <w:lang w:eastAsia="zh-CN"/>
        </w:rPr>
      </w:pPr>
      <w:r>
        <w:rPr>
          <w:rFonts w:hint="eastAsia" w:ascii="仿宋_GB2312" w:hAnsi="仿宋_GB2312" w:eastAsia="仿宋_GB2312" w:cs="仿宋_GB2312"/>
          <w:b/>
          <w:bCs/>
          <w:color w:val="auto"/>
          <w:spacing w:val="-3"/>
          <w:sz w:val="32"/>
          <w:szCs w:val="32"/>
          <w:highlight w:val="none"/>
          <w:lang w:val="en-US" w:eastAsia="zh-CN"/>
        </w:rPr>
        <w:t>6.</w:t>
      </w:r>
      <w:r>
        <w:rPr>
          <w:rFonts w:hint="eastAsia" w:ascii="仿宋_GB2312" w:hAnsi="仿宋_GB2312" w:eastAsia="仿宋_GB2312" w:cs="仿宋_GB2312"/>
          <w:b/>
          <w:bCs/>
          <w:color w:val="auto"/>
          <w:spacing w:val="-3"/>
          <w:sz w:val="32"/>
          <w:szCs w:val="32"/>
          <w:highlight w:val="none"/>
          <w:lang w:eastAsia="zh-CN"/>
        </w:rPr>
        <w:t>预算绩效管理情况</w:t>
      </w:r>
    </w:p>
    <w:p>
      <w:pPr>
        <w:pStyle w:val="7"/>
        <w:spacing w:line="560" w:lineRule="exact"/>
        <w:ind w:firstLine="644" w:firstLineChars="200"/>
        <w:jc w:val="both"/>
        <w:rPr>
          <w:rFonts w:hint="eastAsia" w:ascii="仿宋_GB2312" w:hAnsi="仿宋_GB2312" w:eastAsia="仿宋_GB2312" w:cs="仿宋_GB2312"/>
          <w:snapToGrid w:val="0"/>
          <w:color w:val="auto"/>
          <w:spacing w:val="1"/>
          <w:sz w:val="32"/>
          <w:szCs w:val="32"/>
          <w:highlight w:val="none"/>
          <w:lang w:val="en-US" w:eastAsia="zh-CN" w:bidi="ar-SA"/>
        </w:rPr>
      </w:pPr>
      <w:r>
        <w:rPr>
          <w:rFonts w:hint="eastAsia" w:ascii="仿宋_GB2312" w:hAnsi="仿宋_GB2312" w:eastAsia="仿宋_GB2312" w:cs="仿宋_GB2312"/>
          <w:snapToGrid w:val="0"/>
          <w:color w:val="auto"/>
          <w:spacing w:val="1"/>
          <w:sz w:val="32"/>
          <w:szCs w:val="32"/>
          <w:highlight w:val="none"/>
          <w:lang w:val="en-US" w:eastAsia="zh-CN" w:bidi="ar-SA"/>
        </w:rPr>
        <w:t>按照《中共中央国务院关于全面实施预算绩效管理的意见》《关于加强和规范自治区本级项目支出“全过程”预算绩效管理结果应用的通知》（新财预〔2022〕57号），自治区医疗保障局严格落实有关财经制度，进一步</w:t>
      </w:r>
      <w:r>
        <w:rPr>
          <w:rFonts w:hint="eastAsia" w:ascii="仿宋_GB2312" w:hAnsi="仿宋_GB2312" w:eastAsia="仿宋_GB2312" w:cs="仿宋_GB2312"/>
          <w:snapToGrid w:val="0"/>
          <w:color w:val="auto"/>
          <w:spacing w:val="1"/>
          <w:sz w:val="32"/>
          <w:szCs w:val="32"/>
          <w:highlight w:val="none"/>
          <w:lang w:val="en-US" w:eastAsia="zh-CN" w:bidi="ar-SA"/>
        </w:rPr>
        <w:t>加强预算绩效管理，合理设置绩效目标、积极做好绩效监控、科学开展绩效评价、强化绩效评价结果运用。</w:t>
      </w:r>
    </w:p>
    <w:p>
      <w:pPr>
        <w:pStyle w:val="7"/>
        <w:spacing w:line="560" w:lineRule="exact"/>
        <w:ind w:firstLine="630" w:firstLineChars="200"/>
        <w:jc w:val="both"/>
        <w:rPr>
          <w:rFonts w:hint="eastAsia" w:ascii="仿宋_GB2312" w:hAnsi="仿宋_GB2312" w:eastAsia="仿宋_GB2312" w:cs="仿宋_GB2312"/>
          <w:b/>
          <w:bCs/>
          <w:color w:val="auto"/>
          <w:spacing w:val="-3"/>
          <w:sz w:val="32"/>
          <w:szCs w:val="32"/>
          <w:highlight w:val="none"/>
          <w:lang w:val="en-US" w:eastAsia="zh-CN"/>
        </w:rPr>
      </w:pPr>
      <w:r>
        <w:rPr>
          <w:rFonts w:hint="eastAsia" w:ascii="仿宋_GB2312" w:hAnsi="仿宋_GB2312" w:eastAsia="仿宋_GB2312" w:cs="仿宋_GB2312"/>
          <w:b/>
          <w:bCs/>
          <w:color w:val="auto"/>
          <w:spacing w:val="-3"/>
          <w:sz w:val="32"/>
          <w:szCs w:val="32"/>
          <w:highlight w:val="none"/>
          <w:lang w:val="en-US" w:eastAsia="zh-CN"/>
        </w:rPr>
        <w:t>7.支出责任履行情况</w:t>
      </w:r>
    </w:p>
    <w:p>
      <w:pPr>
        <w:pStyle w:val="7"/>
        <w:spacing w:line="560" w:lineRule="exact"/>
        <w:ind w:firstLine="644"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snapToGrid w:val="0"/>
          <w:color w:val="auto"/>
          <w:spacing w:val="1"/>
          <w:sz w:val="32"/>
          <w:szCs w:val="32"/>
          <w:highlight w:val="none"/>
          <w:lang w:val="en-US" w:eastAsia="zh-CN" w:bidi="ar-SA"/>
        </w:rPr>
        <w:t>自治区医疗保障局切实落实绩效管理主体责任，落实“花钱必问效，无效必问责”的绩效管理要求，加强绩效评价事前、事中、事后的全流程管理。按照《新疆维吾尔自治区医疗卫生领域财政事权和支出责任划分改革实施方案》《关于印发基本公共卫生服务等5项补助资金管理办法的通知》（新财规〔2020〕7号），</w:t>
      </w:r>
      <w:r>
        <w:rPr>
          <w:rFonts w:hint="eastAsia" w:ascii="仿宋_GB2312" w:hAnsi="仿宋_GB2312" w:eastAsia="仿宋_GB2312" w:cs="仿宋_GB2312"/>
          <w:snapToGrid w:val="0"/>
          <w:color w:val="auto"/>
          <w:spacing w:val="1"/>
          <w:sz w:val="32"/>
          <w:szCs w:val="32"/>
          <w:highlight w:val="none"/>
          <w:lang w:val="en-US" w:eastAsia="zh-CN" w:bidi="ar-SA"/>
        </w:rPr>
        <w:t>自治区医疗保障局严格</w:t>
      </w:r>
      <w:r>
        <w:rPr>
          <w:rFonts w:hint="eastAsia" w:ascii="仿宋_GB2312" w:hAnsi="仿宋_GB2312" w:eastAsia="仿宋_GB2312" w:cs="仿宋_GB2312"/>
          <w:snapToGrid w:val="0"/>
          <w:color w:val="auto"/>
          <w:spacing w:val="1"/>
          <w:sz w:val="32"/>
          <w:szCs w:val="32"/>
          <w:highlight w:val="none"/>
          <w:lang w:val="en-US" w:eastAsia="zh-CN" w:bidi="ar-SA"/>
        </w:rPr>
        <w:t>按照财政事权和支出责任划分有关规定，足额安排资金履行本级支出责任。</w:t>
      </w:r>
    </w:p>
    <w:p>
      <w:pPr>
        <w:rPr>
          <w:rFonts w:ascii="楷体_GB2312" w:hAnsi="楷体_GB2312" w:eastAsia="楷体_GB2312" w:cs="楷体_GB2312"/>
          <w:color w:val="auto"/>
          <w:spacing w:val="-3"/>
          <w:sz w:val="32"/>
          <w:szCs w:val="32"/>
          <w:highlight w:val="none"/>
          <w:lang w:eastAsia="zh-CN"/>
        </w:rPr>
      </w:pPr>
      <w:r>
        <w:rPr>
          <w:rFonts w:hint="eastAsia" w:ascii="楷体_GB2312" w:hAnsi="楷体_GB2312" w:eastAsia="楷体_GB2312" w:cs="楷体_GB2312"/>
          <w:color w:val="auto"/>
          <w:spacing w:val="-3"/>
          <w:sz w:val="32"/>
          <w:szCs w:val="32"/>
          <w:highlight w:val="none"/>
          <w:lang w:eastAsia="zh-CN"/>
        </w:rPr>
        <w:br w:type="page"/>
      </w:r>
    </w:p>
    <w:p>
      <w:pPr>
        <w:pStyle w:val="7"/>
        <w:numPr>
          <w:ilvl w:val="0"/>
          <w:numId w:val="2"/>
        </w:numPr>
        <w:spacing w:line="560" w:lineRule="exact"/>
        <w:ind w:firstLine="628" w:firstLineChars="200"/>
        <w:jc w:val="both"/>
        <w:rPr>
          <w:rFonts w:ascii="楷体_GB2312" w:hAnsi="楷体_GB2312" w:eastAsia="楷体_GB2312" w:cs="楷体_GB2312"/>
          <w:color w:val="auto"/>
          <w:spacing w:val="-3"/>
          <w:sz w:val="32"/>
          <w:szCs w:val="32"/>
          <w:highlight w:val="none"/>
          <w:lang w:eastAsia="zh-CN"/>
        </w:rPr>
      </w:pPr>
      <w:r>
        <w:rPr>
          <w:rFonts w:hint="eastAsia" w:ascii="楷体_GB2312" w:hAnsi="楷体_GB2312" w:eastAsia="楷体_GB2312" w:cs="楷体_GB2312"/>
          <w:color w:val="auto"/>
          <w:spacing w:val="-3"/>
          <w:sz w:val="32"/>
          <w:szCs w:val="32"/>
          <w:highlight w:val="none"/>
          <w:lang w:eastAsia="zh-CN"/>
        </w:rPr>
        <w:t>总体绩效目标完成情况分析</w:t>
      </w:r>
    </w:p>
    <w:p>
      <w:pPr>
        <w:pStyle w:val="7"/>
        <w:spacing w:line="560" w:lineRule="exact"/>
        <w:ind w:firstLine="644" w:firstLineChars="200"/>
        <w:jc w:val="both"/>
        <w:rPr>
          <w:rFonts w:hint="eastAsia" w:ascii="仿宋_GB2312" w:hAnsi="仿宋_GB2312" w:eastAsia="仿宋_GB2312" w:cs="仿宋_GB2312"/>
          <w:snapToGrid w:val="0"/>
          <w:color w:val="auto"/>
          <w:spacing w:val="1"/>
          <w:sz w:val="32"/>
          <w:szCs w:val="32"/>
          <w:highlight w:val="none"/>
          <w:lang w:val="en-US" w:eastAsia="zh-CN" w:bidi="ar-SA"/>
        </w:rPr>
      </w:pPr>
      <w:r>
        <w:rPr>
          <w:rFonts w:hint="eastAsia" w:ascii="仿宋_GB2312" w:hAnsi="仿宋_GB2312" w:eastAsia="仿宋_GB2312" w:cs="仿宋_GB2312"/>
          <w:snapToGrid w:val="0"/>
          <w:color w:val="auto"/>
          <w:spacing w:val="1"/>
          <w:sz w:val="32"/>
          <w:szCs w:val="32"/>
          <w:highlight w:val="none"/>
          <w:lang w:val="en-US" w:eastAsia="zh-CN" w:bidi="ar-SA"/>
        </w:rPr>
        <w:t>一是新疆实现跨省异地就医直接结算服务全面覆盖，全疆15个统筹地区均已接入直接结算网络，极大方便参保群众在异地就医直接结算。2024年，新疆参保人员跨省住院和门诊直接结算259.34万人次。</w:t>
      </w:r>
    </w:p>
    <w:p>
      <w:pPr>
        <w:pStyle w:val="7"/>
        <w:spacing w:line="560" w:lineRule="exact"/>
        <w:ind w:firstLine="644" w:firstLineChars="200"/>
        <w:jc w:val="both"/>
        <w:rPr>
          <w:rFonts w:hint="eastAsia" w:ascii="仿宋_GB2312" w:hAnsi="仿宋_GB2312" w:eastAsia="仿宋_GB2312" w:cs="仿宋_GB2312"/>
          <w:snapToGrid w:val="0"/>
          <w:color w:val="auto"/>
          <w:spacing w:val="1"/>
          <w:sz w:val="32"/>
          <w:szCs w:val="32"/>
          <w:highlight w:val="none"/>
          <w:lang w:val="en-US" w:eastAsia="zh-CN" w:bidi="ar-SA"/>
        </w:rPr>
      </w:pPr>
      <w:r>
        <w:rPr>
          <w:rFonts w:hint="eastAsia" w:ascii="仿宋_GB2312" w:hAnsi="仿宋_GB2312" w:eastAsia="仿宋_GB2312" w:cs="仿宋_GB2312"/>
          <w:snapToGrid w:val="0"/>
          <w:color w:val="auto"/>
          <w:spacing w:val="1"/>
          <w:sz w:val="32"/>
          <w:szCs w:val="32"/>
          <w:highlight w:val="none"/>
          <w:lang w:val="en-US" w:eastAsia="zh-CN" w:bidi="ar-SA"/>
        </w:rPr>
        <w:t>二是落实国家组织飞检任务，常态化开展疆内飞行检查，推动实施智能审核，开展医保大数据筛查分析，形成以大数据监管为依托的医保基金监管格局。</w:t>
      </w:r>
    </w:p>
    <w:p>
      <w:pPr>
        <w:pStyle w:val="7"/>
        <w:spacing w:line="560" w:lineRule="exact"/>
        <w:ind w:firstLine="644" w:firstLineChars="200"/>
        <w:jc w:val="both"/>
        <w:rPr>
          <w:rFonts w:hint="eastAsia" w:ascii="仿宋_GB2312" w:hAnsi="仿宋_GB2312" w:eastAsia="仿宋_GB2312" w:cs="仿宋_GB2312"/>
          <w:snapToGrid w:val="0"/>
          <w:color w:val="auto"/>
          <w:spacing w:val="1"/>
          <w:sz w:val="32"/>
          <w:szCs w:val="32"/>
          <w:highlight w:val="none"/>
          <w:lang w:val="en-US" w:eastAsia="zh-CN" w:bidi="ar-SA"/>
        </w:rPr>
      </w:pPr>
      <w:r>
        <w:rPr>
          <w:rFonts w:hint="eastAsia" w:ascii="仿宋_GB2312" w:hAnsi="仿宋_GB2312" w:eastAsia="仿宋_GB2312" w:cs="仿宋_GB2312"/>
          <w:snapToGrid w:val="0"/>
          <w:color w:val="auto"/>
          <w:spacing w:val="1"/>
          <w:sz w:val="32"/>
          <w:szCs w:val="32"/>
          <w:highlight w:val="none"/>
          <w:lang w:val="en-US" w:eastAsia="zh-CN" w:bidi="ar-SA"/>
        </w:rPr>
        <w:t>三是全面推进DRG/DIP支付方式改革，提升基金价值效能，全区15个统筹地区，DRG付费13个，DIP付费2个。2023年提前一年实现统筹地区全覆盖。</w:t>
      </w:r>
    </w:p>
    <w:p>
      <w:pPr>
        <w:pStyle w:val="7"/>
        <w:spacing w:line="560" w:lineRule="exact"/>
        <w:ind w:firstLine="644" w:firstLineChars="200"/>
        <w:jc w:val="both"/>
        <w:rPr>
          <w:rFonts w:hint="eastAsia" w:ascii="仿宋_GB2312" w:hAnsi="仿宋_GB2312" w:eastAsia="仿宋_GB2312" w:cs="仿宋_GB2312"/>
          <w:snapToGrid w:val="0"/>
          <w:color w:val="auto"/>
          <w:spacing w:val="1"/>
          <w:sz w:val="32"/>
          <w:szCs w:val="32"/>
          <w:highlight w:val="none"/>
          <w:lang w:val="en-US" w:eastAsia="zh-CN" w:bidi="ar-SA"/>
        </w:rPr>
      </w:pPr>
      <w:r>
        <w:rPr>
          <w:rFonts w:hint="eastAsia" w:ascii="仿宋_GB2312" w:hAnsi="仿宋_GB2312" w:eastAsia="仿宋_GB2312" w:cs="仿宋_GB2312"/>
          <w:snapToGrid w:val="0"/>
          <w:color w:val="auto"/>
          <w:spacing w:val="1"/>
          <w:sz w:val="32"/>
          <w:szCs w:val="32"/>
          <w:highlight w:val="none"/>
          <w:lang w:val="en-US" w:eastAsia="zh-CN" w:bidi="ar-SA"/>
        </w:rPr>
        <w:t xml:space="preserve">四是招采制度改革成效显著，推动集中带量采购品种提质扩面，着力构建多层次采购体系、多元化采购模式，实现药品耗材集中采购全覆盖，促进药品耗材线上采购、阳光透明。 </w:t>
      </w:r>
    </w:p>
    <w:p>
      <w:pPr>
        <w:pStyle w:val="7"/>
        <w:spacing w:line="560" w:lineRule="exact"/>
        <w:ind w:firstLine="644" w:firstLineChars="200"/>
        <w:jc w:val="both"/>
        <w:rPr>
          <w:rFonts w:hint="eastAsia" w:ascii="仿宋_GB2312" w:hAnsi="仿宋_GB2312" w:eastAsia="仿宋_GB2312" w:cs="仿宋_GB2312"/>
          <w:snapToGrid w:val="0"/>
          <w:color w:val="auto"/>
          <w:spacing w:val="1"/>
          <w:sz w:val="32"/>
          <w:szCs w:val="32"/>
          <w:highlight w:val="none"/>
          <w:lang w:val="en-US" w:eastAsia="zh-CN" w:bidi="ar-SA"/>
        </w:rPr>
      </w:pPr>
      <w:r>
        <w:rPr>
          <w:rFonts w:hint="eastAsia" w:ascii="仿宋_GB2312" w:hAnsi="仿宋_GB2312" w:eastAsia="仿宋_GB2312" w:cs="仿宋_GB2312"/>
          <w:snapToGrid w:val="0"/>
          <w:color w:val="auto"/>
          <w:spacing w:val="1"/>
          <w:sz w:val="32"/>
          <w:szCs w:val="32"/>
          <w:highlight w:val="none"/>
          <w:lang w:val="en-US" w:eastAsia="zh-CN" w:bidi="ar-SA"/>
        </w:rPr>
        <w:t>五是经办服务能力实现跨越式发展，经办服务标准化建设全面完成，全程网办率85.7%，群众获得感显著增强。</w:t>
      </w:r>
    </w:p>
    <w:p>
      <w:pPr>
        <w:pStyle w:val="7"/>
        <w:numPr>
          <w:ilvl w:val="0"/>
          <w:numId w:val="2"/>
        </w:numPr>
        <w:spacing w:line="560" w:lineRule="exact"/>
        <w:ind w:firstLine="628" w:firstLineChars="200"/>
        <w:jc w:val="both"/>
        <w:rPr>
          <w:rFonts w:ascii="楷体" w:hAnsi="楷体" w:eastAsia="楷体" w:cs="楷体"/>
          <w:color w:val="auto"/>
          <w:spacing w:val="5"/>
          <w:sz w:val="32"/>
          <w:szCs w:val="32"/>
          <w:highlight w:val="none"/>
        </w:rPr>
      </w:pPr>
      <w:r>
        <w:rPr>
          <w:rFonts w:hint="eastAsia" w:ascii="楷体_GB2312" w:hAnsi="楷体_GB2312" w:eastAsia="楷体_GB2312" w:cs="楷体_GB2312"/>
          <w:color w:val="auto"/>
          <w:spacing w:val="-3"/>
          <w:sz w:val="32"/>
          <w:szCs w:val="32"/>
          <w:highlight w:val="none"/>
          <w:lang w:eastAsia="zh-CN"/>
        </w:rPr>
        <w:t>绩效指标完成情况分析</w:t>
      </w:r>
    </w:p>
    <w:p>
      <w:pPr>
        <w:pStyle w:val="7"/>
        <w:spacing w:line="560" w:lineRule="exact"/>
        <w:ind w:firstLine="658" w:firstLineChars="200"/>
        <w:jc w:val="both"/>
        <w:rPr>
          <w:rFonts w:ascii="仿宋_GB2312" w:hAnsi="仿宋_GB2312" w:eastAsia="仿宋_GB2312" w:cs="仿宋_GB2312"/>
          <w:b/>
          <w:bCs/>
          <w:color w:val="auto"/>
          <w:spacing w:val="4"/>
          <w:sz w:val="32"/>
          <w:szCs w:val="32"/>
          <w:highlight w:val="none"/>
          <w:lang w:eastAsia="zh-CN"/>
        </w:rPr>
      </w:pPr>
      <w:r>
        <w:rPr>
          <w:rFonts w:hint="eastAsia" w:ascii="仿宋_GB2312" w:hAnsi="仿宋_GB2312" w:eastAsia="仿宋_GB2312" w:cs="仿宋_GB2312"/>
          <w:b/>
          <w:bCs/>
          <w:color w:val="auto"/>
          <w:spacing w:val="4"/>
          <w:sz w:val="32"/>
          <w:szCs w:val="32"/>
          <w:highlight w:val="none"/>
          <w:lang w:eastAsia="zh-CN"/>
        </w:rPr>
        <w:t>1.</w:t>
      </w:r>
      <w:r>
        <w:rPr>
          <w:rFonts w:hint="eastAsia" w:ascii="仿宋_GB2312" w:hAnsi="仿宋_GB2312" w:eastAsia="仿宋_GB2312" w:cs="仿宋_GB2312"/>
          <w:b/>
          <w:bCs/>
          <w:color w:val="auto"/>
          <w:spacing w:val="4"/>
          <w:sz w:val="32"/>
          <w:szCs w:val="32"/>
          <w:highlight w:val="none"/>
          <w:lang w:val="en-US" w:eastAsia="zh-CN"/>
        </w:rPr>
        <w:t>项目</w:t>
      </w:r>
      <w:r>
        <w:rPr>
          <w:rFonts w:hint="eastAsia" w:ascii="仿宋_GB2312" w:hAnsi="仿宋_GB2312" w:eastAsia="仿宋_GB2312" w:cs="仿宋_GB2312"/>
          <w:b/>
          <w:bCs/>
          <w:color w:val="auto"/>
          <w:spacing w:val="4"/>
          <w:sz w:val="32"/>
          <w:szCs w:val="32"/>
          <w:highlight w:val="none"/>
          <w:lang w:eastAsia="zh-CN"/>
        </w:rPr>
        <w:t>产出指标</w:t>
      </w:r>
    </w:p>
    <w:p>
      <w:pPr>
        <w:pStyle w:val="7"/>
        <w:spacing w:line="560" w:lineRule="exact"/>
        <w:ind w:firstLine="658" w:firstLineChars="200"/>
        <w:jc w:val="both"/>
        <w:rPr>
          <w:rFonts w:ascii="仿宋_GB2312" w:hAnsi="仿宋_GB2312" w:eastAsia="仿宋_GB2312" w:cs="仿宋_GB2312"/>
          <w:b/>
          <w:bCs/>
          <w:color w:val="auto"/>
          <w:spacing w:val="4"/>
          <w:sz w:val="32"/>
          <w:szCs w:val="32"/>
          <w:highlight w:val="none"/>
        </w:rPr>
      </w:pPr>
      <w:r>
        <w:rPr>
          <w:rFonts w:hint="eastAsia" w:ascii="仿宋_GB2312" w:hAnsi="仿宋_GB2312" w:eastAsia="仿宋_GB2312" w:cs="仿宋_GB2312"/>
          <w:b/>
          <w:bCs/>
          <w:color w:val="auto"/>
          <w:spacing w:val="4"/>
          <w:sz w:val="32"/>
          <w:szCs w:val="32"/>
          <w:highlight w:val="none"/>
          <w:lang w:eastAsia="zh-CN"/>
        </w:rPr>
        <w:t>（1）数量指标</w:t>
      </w:r>
    </w:p>
    <w:p>
      <w:pPr>
        <w:pStyle w:val="7"/>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a.财政部随文下达的</w:t>
      </w:r>
      <w:r>
        <w:rPr>
          <w:rFonts w:hint="eastAsia" w:ascii="仿宋_GB2312" w:hAnsi="仿宋_GB2312" w:eastAsia="仿宋_GB2312" w:cs="仿宋_GB2312"/>
          <w:b w:val="0"/>
          <w:bCs w:val="0"/>
          <w:color w:val="auto"/>
          <w:sz w:val="32"/>
          <w:szCs w:val="32"/>
          <w:highlight w:val="none"/>
          <w:lang w:eastAsia="zh-CN"/>
        </w:rPr>
        <w:t>基本医保参保人数</w:t>
      </w:r>
      <w:r>
        <w:rPr>
          <w:rFonts w:hint="eastAsia" w:ascii="仿宋_GB2312" w:hAnsi="仿宋_GB2312" w:eastAsia="仿宋_GB2312" w:cs="仿宋_GB2312"/>
          <w:b w:val="0"/>
          <w:bCs w:val="0"/>
          <w:color w:val="auto"/>
          <w:sz w:val="32"/>
          <w:szCs w:val="32"/>
          <w:highlight w:val="none"/>
          <w:lang w:val="en-US" w:eastAsia="zh-CN"/>
        </w:rPr>
        <w:t>指标，</w:t>
      </w:r>
      <w:r>
        <w:rPr>
          <w:rFonts w:hint="eastAsia" w:ascii="仿宋_GB2312" w:hAnsi="仿宋_GB2312" w:eastAsia="仿宋_GB2312" w:cs="仿宋_GB2312"/>
          <w:b w:val="0"/>
          <w:bCs w:val="0"/>
          <w:color w:val="auto"/>
          <w:sz w:val="32"/>
          <w:szCs w:val="32"/>
          <w:highlight w:val="none"/>
          <w:lang w:eastAsia="zh-CN"/>
        </w:rPr>
        <w:t>指标</w:t>
      </w:r>
      <w:r>
        <w:rPr>
          <w:rFonts w:hint="eastAsia" w:ascii="仿宋_GB2312" w:hAnsi="仿宋_GB2312" w:eastAsia="仿宋_GB2312" w:cs="仿宋_GB2312"/>
          <w:color w:val="auto"/>
          <w:sz w:val="32"/>
          <w:szCs w:val="32"/>
          <w:highlight w:val="none"/>
          <w:lang w:eastAsia="zh-CN"/>
        </w:rPr>
        <w:t>值为</w:t>
      </w:r>
      <w:r>
        <w:rPr>
          <w:rFonts w:hint="eastAsia" w:ascii="仿宋_GB2312" w:hAnsi="仿宋_GB2312" w:eastAsia="仿宋_GB2312" w:cs="仿宋_GB2312"/>
          <w:color w:val="auto"/>
          <w:sz w:val="32"/>
          <w:szCs w:val="32"/>
          <w:highlight w:val="none"/>
          <w:lang w:val="en-US" w:eastAsia="zh-CN"/>
        </w:rPr>
        <w:t>大于等于</w:t>
      </w:r>
      <w:r>
        <w:rPr>
          <w:rFonts w:hint="eastAsia" w:ascii="仿宋_GB2312" w:hAnsi="仿宋_GB2312" w:eastAsia="仿宋_GB2312" w:cs="仿宋_GB2312"/>
          <w:color w:val="auto"/>
          <w:sz w:val="32"/>
          <w:szCs w:val="32"/>
          <w:highlight w:val="none"/>
          <w:lang w:eastAsia="zh-CN"/>
        </w:rPr>
        <w:t>2084万人，据2024年医疗保障年报统计数据显示,截至2024年12月底，我区基本医疗保险参保人数</w:t>
      </w:r>
      <w:r>
        <w:rPr>
          <w:rFonts w:hint="eastAsia" w:ascii="仿宋_GB2312" w:hAnsi="仿宋_GB2312" w:eastAsia="仿宋_GB2312" w:cs="仿宋_GB2312"/>
          <w:color w:val="auto"/>
          <w:sz w:val="32"/>
          <w:szCs w:val="32"/>
          <w:highlight w:val="none"/>
          <w:lang w:val="en-US" w:eastAsia="zh-CN"/>
        </w:rPr>
        <w:t>实际完成值为</w:t>
      </w:r>
      <w:r>
        <w:rPr>
          <w:rFonts w:hint="eastAsia" w:ascii="仿宋_GB2312" w:hAnsi="仿宋_GB2312" w:eastAsia="仿宋_GB2312" w:cs="仿宋_GB2312"/>
          <w:color w:val="auto"/>
          <w:sz w:val="32"/>
          <w:szCs w:val="32"/>
          <w:highlight w:val="none"/>
          <w:lang w:eastAsia="zh-CN"/>
        </w:rPr>
        <w:t>2088.09万人，完成率100.20%，偏差率0.20%。</w:t>
      </w:r>
    </w:p>
    <w:p>
      <w:pPr>
        <w:pStyle w:val="7"/>
        <w:spacing w:line="560" w:lineRule="exact"/>
        <w:ind w:firstLine="640" w:firstLineChars="200"/>
        <w:jc w:val="both"/>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b.财政部随文下达的</w:t>
      </w:r>
      <w:r>
        <w:rPr>
          <w:rFonts w:hint="eastAsia" w:ascii="仿宋_GB2312" w:hAnsi="仿宋_GB2312" w:eastAsia="仿宋_GB2312" w:cs="仿宋_GB2312"/>
          <w:b w:val="0"/>
          <w:bCs w:val="0"/>
          <w:color w:val="auto"/>
          <w:sz w:val="32"/>
          <w:szCs w:val="32"/>
          <w:highlight w:val="none"/>
          <w:lang w:eastAsia="zh-CN"/>
        </w:rPr>
        <w:t>每个县(区)范围内开通门诊慢特病相关治疗费用跨省联网定点医疗机构数量</w:t>
      </w:r>
      <w:r>
        <w:rPr>
          <w:rFonts w:hint="eastAsia" w:ascii="仿宋_GB2312" w:hAnsi="仿宋_GB2312" w:eastAsia="仿宋_GB2312" w:cs="仿宋_GB2312"/>
          <w:b w:val="0"/>
          <w:bCs w:val="0"/>
          <w:color w:val="auto"/>
          <w:sz w:val="32"/>
          <w:szCs w:val="32"/>
          <w:highlight w:val="none"/>
          <w:lang w:val="en-US" w:eastAsia="zh-CN"/>
        </w:rPr>
        <w:t>指标，</w:t>
      </w:r>
      <w:r>
        <w:rPr>
          <w:rFonts w:hint="eastAsia" w:ascii="仿宋_GB2312" w:hAnsi="仿宋_GB2312" w:eastAsia="仿宋_GB2312" w:cs="仿宋_GB2312"/>
          <w:color w:val="auto"/>
          <w:sz w:val="32"/>
          <w:szCs w:val="32"/>
          <w:highlight w:val="none"/>
          <w:lang w:eastAsia="zh-CN"/>
        </w:rPr>
        <w:t>指标值为大于等于1，实际完成值为1，完成率100%，偏差率0%。</w:t>
      </w:r>
    </w:p>
    <w:p>
      <w:pPr>
        <w:pStyle w:val="7"/>
        <w:spacing w:line="560" w:lineRule="exact"/>
        <w:ind w:firstLine="640" w:firstLineChars="200"/>
        <w:jc w:val="both"/>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截至2023年7月31日，全区开通高血压、糖尿病、恶性肿瘤门诊放化疗、尿毒症透析、器官移植术后抗排异治疗等5种门诊慢特病相关治疗费用跨省直接结算定点医药机构1306家，已完成每个县（市、区）至少有1家及以上普通门诊。</w:t>
      </w:r>
    </w:p>
    <w:p>
      <w:pPr>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snapToGrid w:val="0"/>
          <w:color w:val="auto"/>
          <w:sz w:val="32"/>
          <w:szCs w:val="32"/>
          <w:highlight w:val="none"/>
          <w:lang w:val="en-US" w:eastAsia="zh-CN" w:bidi="ar-SA"/>
        </w:rPr>
        <w:t>c.</w:t>
      </w:r>
      <w:r>
        <w:rPr>
          <w:rFonts w:hint="eastAsia" w:ascii="仿宋_GB2312" w:hAnsi="仿宋_GB2312" w:eastAsia="仿宋_GB2312" w:cs="仿宋_GB2312"/>
          <w:b w:val="0"/>
          <w:bCs w:val="0"/>
          <w:color w:val="auto"/>
          <w:sz w:val="32"/>
          <w:szCs w:val="32"/>
          <w:highlight w:val="none"/>
          <w:lang w:eastAsia="zh-CN"/>
        </w:rPr>
        <w:t>财政部随文下达的短缺药品异常高价和异常配送核查处置情况</w:t>
      </w:r>
      <w:r>
        <w:rPr>
          <w:rFonts w:hint="eastAsia" w:ascii="仿宋_GB2312" w:hAnsi="仿宋_GB2312" w:eastAsia="仿宋_GB2312" w:cs="仿宋_GB2312"/>
          <w:b w:val="0"/>
          <w:bCs w:val="0"/>
          <w:color w:val="auto"/>
          <w:sz w:val="32"/>
          <w:szCs w:val="32"/>
          <w:highlight w:val="none"/>
          <w:lang w:val="en-US" w:eastAsia="zh-CN"/>
        </w:rPr>
        <w:t>指标，</w:t>
      </w:r>
      <w:r>
        <w:rPr>
          <w:rFonts w:hint="eastAsia" w:ascii="仿宋_GB2312" w:hAnsi="仿宋_GB2312" w:eastAsia="仿宋_GB2312" w:cs="仿宋_GB2312"/>
          <w:b w:val="0"/>
          <w:bCs w:val="0"/>
          <w:color w:val="auto"/>
          <w:sz w:val="32"/>
          <w:szCs w:val="32"/>
          <w:highlight w:val="none"/>
          <w:lang w:eastAsia="zh-CN"/>
        </w:rPr>
        <w:t>指标值</w:t>
      </w:r>
      <w:r>
        <w:rPr>
          <w:rFonts w:hint="eastAsia" w:ascii="仿宋_GB2312" w:hAnsi="仿宋_GB2312" w:eastAsia="仿宋_GB2312" w:cs="仿宋_GB2312"/>
          <w:color w:val="auto"/>
          <w:sz w:val="32"/>
          <w:szCs w:val="32"/>
          <w:highlight w:val="none"/>
          <w:lang w:eastAsia="zh-CN"/>
        </w:rPr>
        <w:t>为处置率达100%，实际完成值为100%，完成率100%，偏差率0%。</w:t>
      </w:r>
    </w:p>
    <w:p>
      <w:pPr>
        <w:pStyle w:val="38"/>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一是根据1月、2月、6月、9月、10月收到国家医保局共计异常数据13条（其余月份我区无异常数据）。收到异常数据后约谈相关生产企业13次，督促5家企业及时保障供应产品，成功约谈降价短缺药品1个；二是2024年12月，我局商请自治区卫健委牵头重新评估9个品规纳入短缺、易短缺药品清单的必要性，卫健委拟于2025年重新评估短缺药目录。同时，对涉及高价企业进行了逐一约谈，1个产品主动完成降价，4个产品进行黄标风险预警处置，4个产品进行红标风险警示处置，处置率达100%。</w:t>
      </w:r>
    </w:p>
    <w:p>
      <w:pPr>
        <w:pStyle w:val="38"/>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d.财政部随文下达的</w:t>
      </w:r>
      <w:r>
        <w:rPr>
          <w:rFonts w:hint="eastAsia" w:ascii="仿宋_GB2312" w:hAnsi="仿宋_GB2312" w:eastAsia="仿宋_GB2312" w:cs="仿宋_GB2312"/>
          <w:b w:val="0"/>
          <w:bCs w:val="0"/>
          <w:color w:val="auto"/>
          <w:sz w:val="32"/>
          <w:szCs w:val="32"/>
          <w:highlight w:val="none"/>
          <w:lang w:eastAsia="zh-CN"/>
        </w:rPr>
        <w:t>每年开展药品挂网价格联动次数</w:t>
      </w:r>
      <w:r>
        <w:rPr>
          <w:rFonts w:hint="eastAsia" w:ascii="仿宋_GB2312" w:hAnsi="仿宋_GB2312" w:eastAsia="仿宋_GB2312" w:cs="仿宋_GB2312"/>
          <w:b w:val="0"/>
          <w:bCs w:val="0"/>
          <w:color w:val="auto"/>
          <w:sz w:val="32"/>
          <w:szCs w:val="32"/>
          <w:highlight w:val="none"/>
          <w:lang w:val="en-US" w:eastAsia="zh-CN"/>
        </w:rPr>
        <w:t>指标，</w:t>
      </w:r>
      <w:r>
        <w:rPr>
          <w:rFonts w:hint="eastAsia" w:ascii="仿宋_GB2312" w:hAnsi="仿宋_GB2312" w:eastAsia="仿宋_GB2312" w:cs="仿宋_GB2312"/>
          <w:b w:val="0"/>
          <w:bCs w:val="0"/>
          <w:color w:val="auto"/>
          <w:sz w:val="32"/>
          <w:szCs w:val="32"/>
          <w:highlight w:val="none"/>
          <w:lang w:eastAsia="zh-CN"/>
        </w:rPr>
        <w:t>指</w:t>
      </w:r>
      <w:r>
        <w:rPr>
          <w:rFonts w:hint="eastAsia" w:ascii="仿宋_GB2312" w:hAnsi="仿宋_GB2312" w:eastAsia="仿宋_GB2312" w:cs="仿宋_GB2312"/>
          <w:color w:val="auto"/>
          <w:sz w:val="32"/>
          <w:szCs w:val="32"/>
          <w:highlight w:val="none"/>
          <w:lang w:eastAsia="zh-CN"/>
        </w:rPr>
        <w:t>标值为</w:t>
      </w:r>
      <w:r>
        <w:rPr>
          <w:rFonts w:hint="eastAsia" w:ascii="仿宋_GB2312" w:hAnsi="仿宋_GB2312" w:eastAsia="仿宋_GB2312" w:cs="仿宋_GB2312"/>
          <w:color w:val="auto"/>
          <w:sz w:val="32"/>
          <w:szCs w:val="32"/>
          <w:highlight w:val="none"/>
          <w:lang w:val="en-US" w:eastAsia="zh-CN"/>
        </w:rPr>
        <w:t>大于等于</w:t>
      </w:r>
      <w:r>
        <w:rPr>
          <w:rFonts w:hint="eastAsia" w:ascii="仿宋_GB2312" w:hAnsi="仿宋_GB2312" w:eastAsia="仿宋_GB2312" w:cs="仿宋_GB2312"/>
          <w:color w:val="auto"/>
          <w:sz w:val="32"/>
          <w:szCs w:val="32"/>
          <w:highlight w:val="none"/>
          <w:lang w:eastAsia="zh-CN"/>
        </w:rPr>
        <w:t>1，实际完成值为1，完成率100%，偏差率为0%。</w:t>
      </w:r>
    </w:p>
    <w:p>
      <w:pPr>
        <w:pStyle w:val="38"/>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2024开展药品挂网价格联动工作，</w:t>
      </w:r>
      <w:r>
        <w:rPr>
          <w:rFonts w:hint="eastAsia" w:ascii="仿宋_GB2312" w:hAnsi="仿宋_GB2312" w:eastAsia="仿宋_GB2312" w:cs="仿宋_GB2312"/>
          <w:color w:val="auto"/>
          <w:sz w:val="32"/>
          <w:szCs w:val="32"/>
          <w:highlight w:val="none"/>
          <w:lang w:val="en-US" w:eastAsia="zh-CN"/>
        </w:rPr>
        <w:t>主要</w:t>
      </w:r>
      <w:r>
        <w:rPr>
          <w:rFonts w:hint="eastAsia" w:ascii="仿宋_GB2312" w:hAnsi="仿宋_GB2312" w:eastAsia="仿宋_GB2312" w:cs="仿宋_GB2312"/>
          <w:color w:val="auto"/>
          <w:sz w:val="32"/>
          <w:szCs w:val="32"/>
          <w:highlight w:val="none"/>
          <w:lang w:eastAsia="zh-CN"/>
        </w:rPr>
        <w:t>包括：（1）开展自治区招采子系统药品阳光挂网动态调整工作；（2）开展自治区招采子系统2024年第一批阳光挂网药品专项动态调整工作；（3）自治区规范药品阳光挂网价格动态调整工作。</w:t>
      </w:r>
    </w:p>
    <w:p>
      <w:pPr>
        <w:pStyle w:val="7"/>
        <w:spacing w:line="560" w:lineRule="exact"/>
        <w:ind w:firstLine="658" w:firstLineChars="200"/>
        <w:jc w:val="both"/>
        <w:rPr>
          <w:rFonts w:ascii="仿宋_GB2312" w:hAnsi="仿宋_GB2312" w:eastAsia="仿宋_GB2312" w:cs="仿宋_GB2312"/>
          <w:b/>
          <w:bCs/>
          <w:color w:val="auto"/>
          <w:spacing w:val="4"/>
          <w:sz w:val="32"/>
          <w:szCs w:val="32"/>
          <w:highlight w:val="none"/>
          <w:lang w:eastAsia="zh-CN"/>
        </w:rPr>
      </w:pPr>
      <w:r>
        <w:rPr>
          <w:rFonts w:hint="eastAsia" w:ascii="仿宋_GB2312" w:hAnsi="仿宋_GB2312" w:eastAsia="仿宋_GB2312" w:cs="仿宋_GB2312"/>
          <w:b/>
          <w:bCs/>
          <w:color w:val="auto"/>
          <w:spacing w:val="4"/>
          <w:sz w:val="32"/>
          <w:szCs w:val="32"/>
          <w:highlight w:val="none"/>
          <w:lang w:eastAsia="zh-CN"/>
        </w:rPr>
        <w:t>（</w:t>
      </w:r>
      <w:r>
        <w:rPr>
          <w:rFonts w:hint="eastAsia" w:ascii="仿宋_GB2312" w:hAnsi="仿宋_GB2312" w:eastAsia="仿宋_GB2312" w:cs="仿宋_GB2312"/>
          <w:b/>
          <w:bCs/>
          <w:color w:val="auto"/>
          <w:spacing w:val="4"/>
          <w:sz w:val="32"/>
          <w:szCs w:val="32"/>
          <w:highlight w:val="none"/>
          <w:lang w:val="en-US" w:eastAsia="zh-CN"/>
        </w:rPr>
        <w:t>2）</w:t>
      </w:r>
      <w:r>
        <w:rPr>
          <w:rFonts w:hint="eastAsia" w:ascii="仿宋_GB2312" w:hAnsi="仿宋_GB2312" w:eastAsia="仿宋_GB2312" w:cs="仿宋_GB2312"/>
          <w:b/>
          <w:bCs/>
          <w:color w:val="auto"/>
          <w:spacing w:val="4"/>
          <w:sz w:val="32"/>
          <w:szCs w:val="32"/>
          <w:highlight w:val="none"/>
          <w:lang w:eastAsia="zh-CN"/>
        </w:rPr>
        <w:t>质量指标</w:t>
      </w:r>
    </w:p>
    <w:p>
      <w:pPr>
        <w:pStyle w:val="38"/>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a.</w:t>
      </w:r>
      <w:r>
        <w:rPr>
          <w:rFonts w:hint="eastAsia" w:ascii="仿宋_GB2312" w:hAnsi="仿宋_GB2312" w:eastAsia="仿宋_GB2312" w:cs="仿宋_GB2312"/>
          <w:b w:val="0"/>
          <w:bCs w:val="0"/>
          <w:color w:val="auto"/>
          <w:sz w:val="32"/>
          <w:szCs w:val="32"/>
          <w:highlight w:val="none"/>
          <w:lang w:eastAsia="zh-CN"/>
        </w:rPr>
        <w:t>财政部随文下达的重复参保治理情况</w:t>
      </w:r>
      <w:r>
        <w:rPr>
          <w:rFonts w:hint="eastAsia" w:ascii="仿宋_GB2312" w:hAnsi="仿宋_GB2312" w:eastAsia="仿宋_GB2312" w:cs="仿宋_GB2312"/>
          <w:b w:val="0"/>
          <w:bCs w:val="0"/>
          <w:color w:val="auto"/>
          <w:sz w:val="32"/>
          <w:szCs w:val="32"/>
          <w:highlight w:val="none"/>
          <w:lang w:val="en-US" w:eastAsia="zh-CN"/>
        </w:rPr>
        <w:t>指标，</w:t>
      </w:r>
      <w:r>
        <w:rPr>
          <w:rFonts w:hint="eastAsia" w:ascii="仿宋_GB2312" w:hAnsi="仿宋_GB2312" w:eastAsia="仿宋_GB2312" w:cs="仿宋_GB2312"/>
          <w:b w:val="0"/>
          <w:bCs w:val="0"/>
          <w:color w:val="auto"/>
          <w:sz w:val="32"/>
          <w:szCs w:val="32"/>
          <w:highlight w:val="none"/>
          <w:lang w:eastAsia="zh-CN"/>
        </w:rPr>
        <w:t>指</w:t>
      </w:r>
      <w:r>
        <w:rPr>
          <w:rFonts w:hint="eastAsia" w:ascii="仿宋_GB2312" w:hAnsi="仿宋_GB2312" w:eastAsia="仿宋_GB2312" w:cs="仿宋_GB2312"/>
          <w:color w:val="auto"/>
          <w:sz w:val="32"/>
          <w:szCs w:val="32"/>
          <w:highlight w:val="none"/>
          <w:lang w:eastAsia="zh-CN"/>
        </w:rPr>
        <w:t>标值为依托医保信息平台实施参保信息强制校验，实际完成值为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，完成率100%，偏差率0%。</w:t>
      </w:r>
    </w:p>
    <w:p>
      <w:pPr>
        <w:pStyle w:val="38"/>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经自查，一是存在跨制度重复参保4088人，其中：自治区重复参保58人，与兵团重复参保4030人；二是参保人员死亡后未及时办理暂停及清退，导致该期间仍继续缴纳基本医疗保险费，经自查发现此类人群涉及15人，剔除上述情况后，城乡居民医疗保险参保人数15415919人。因行政区划与地理位置特殊，发生跨制度重复缴费时系统仅有提醒但非强制，故造成跨省、跨制度重复参保。居民与居民间已实现强校验，不存在居民制度内重复参保。关于兵地重复参保情况对发现的4030人重复参保人员，根据《国家医保局 财政部 国家税务总局关于加强和改进基本医疗保险参保工作的指导意见》(医保发〔2020〕33号)，我区在申报并提供居民医保参保信息比对有关材料中，已主动剔除以上全部人员。</w:t>
      </w:r>
    </w:p>
    <w:p>
      <w:pPr>
        <w:pStyle w:val="38"/>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b.</w:t>
      </w:r>
      <w:r>
        <w:rPr>
          <w:rFonts w:hint="eastAsia" w:ascii="仿宋_GB2312" w:hAnsi="仿宋_GB2312" w:eastAsia="仿宋_GB2312" w:cs="仿宋_GB2312"/>
          <w:b w:val="0"/>
          <w:bCs w:val="0"/>
          <w:color w:val="auto"/>
          <w:sz w:val="32"/>
          <w:szCs w:val="32"/>
          <w:highlight w:val="none"/>
          <w:lang w:eastAsia="zh-CN"/>
        </w:rPr>
        <w:t>财政部随文下达的医保基金综合监管能力</w:t>
      </w:r>
      <w:r>
        <w:rPr>
          <w:rFonts w:hint="eastAsia" w:ascii="仿宋_GB2312" w:hAnsi="仿宋_GB2312" w:eastAsia="仿宋_GB2312" w:cs="仿宋_GB2312"/>
          <w:b w:val="0"/>
          <w:bCs w:val="0"/>
          <w:color w:val="auto"/>
          <w:sz w:val="32"/>
          <w:szCs w:val="32"/>
          <w:highlight w:val="none"/>
          <w:lang w:val="en-US" w:eastAsia="zh-CN"/>
        </w:rPr>
        <w:t>指标，</w:t>
      </w:r>
      <w:r>
        <w:rPr>
          <w:rFonts w:hint="eastAsia" w:ascii="仿宋_GB2312" w:hAnsi="仿宋_GB2312" w:eastAsia="仿宋_GB2312" w:cs="仿宋_GB2312"/>
          <w:b w:val="0"/>
          <w:bCs w:val="0"/>
          <w:color w:val="auto"/>
          <w:sz w:val="32"/>
          <w:szCs w:val="32"/>
          <w:highlight w:val="none"/>
          <w:lang w:eastAsia="zh-CN"/>
        </w:rPr>
        <w:t>指标值</w:t>
      </w:r>
      <w:r>
        <w:rPr>
          <w:rFonts w:hint="eastAsia" w:ascii="仿宋_GB2312" w:hAnsi="仿宋_GB2312" w:eastAsia="仿宋_GB2312" w:cs="仿宋_GB2312"/>
          <w:color w:val="auto"/>
          <w:sz w:val="32"/>
          <w:szCs w:val="32"/>
          <w:highlight w:val="none"/>
          <w:lang w:eastAsia="zh-CN"/>
        </w:rPr>
        <w:t>为有所提升，实际完成值为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，完成率100%，偏差率0%。</w:t>
      </w:r>
    </w:p>
    <w:p>
      <w:pPr>
        <w:pStyle w:val="38"/>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列入医疗保障基金监督检查对象名录库的定点医药机构共计11840家，检查覆盖同比增长13.7%;处理违法违规医药机构9412家，处理机构家数同比增长25.8%;暂停医保服务协议/结算1519家、暂停医保服务家数同比增长83%;解除医保服务协议1004家、解除医保服务家数同比增长622.3%,移交司法机关33家、移交司法家数同比增长371.4%;移交纪检监察机关549家、移交纪检监察机关家数同比增长103.3%;移交其他行政部门1435家，移交其他行政部门家数同比增长23.7%;处罚和追回资金8.64亿元，处罚和追回资金同比增长146.85%。</w:t>
      </w:r>
    </w:p>
    <w:p>
      <w:pPr>
        <w:pStyle w:val="38"/>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c.</w:t>
      </w:r>
      <w:r>
        <w:rPr>
          <w:rFonts w:hint="eastAsia" w:ascii="仿宋_GB2312" w:hAnsi="仿宋_GB2312" w:eastAsia="仿宋_GB2312" w:cs="仿宋_GB2312"/>
          <w:b w:val="0"/>
          <w:bCs w:val="0"/>
          <w:color w:val="auto"/>
          <w:sz w:val="32"/>
          <w:szCs w:val="32"/>
          <w:highlight w:val="none"/>
          <w:lang w:eastAsia="zh-CN"/>
        </w:rPr>
        <w:t>财政部随文下达的基金预警和风险防控能力</w:t>
      </w:r>
      <w:r>
        <w:rPr>
          <w:rFonts w:hint="eastAsia" w:ascii="仿宋_GB2312" w:hAnsi="仿宋_GB2312" w:eastAsia="仿宋_GB2312" w:cs="仿宋_GB2312"/>
          <w:b w:val="0"/>
          <w:bCs w:val="0"/>
          <w:color w:val="auto"/>
          <w:sz w:val="32"/>
          <w:szCs w:val="32"/>
          <w:highlight w:val="none"/>
          <w:lang w:val="en-US" w:eastAsia="zh-CN"/>
        </w:rPr>
        <w:t>指标，</w:t>
      </w:r>
      <w:r>
        <w:rPr>
          <w:rFonts w:hint="eastAsia" w:ascii="仿宋_GB2312" w:hAnsi="仿宋_GB2312" w:eastAsia="仿宋_GB2312" w:cs="仿宋_GB2312"/>
          <w:b w:val="0"/>
          <w:bCs w:val="0"/>
          <w:color w:val="auto"/>
          <w:sz w:val="32"/>
          <w:szCs w:val="32"/>
          <w:highlight w:val="none"/>
          <w:lang w:eastAsia="zh-CN"/>
        </w:rPr>
        <w:t>指标</w:t>
      </w:r>
      <w:r>
        <w:rPr>
          <w:rFonts w:hint="eastAsia" w:ascii="仿宋_GB2312" w:hAnsi="仿宋_GB2312" w:eastAsia="仿宋_GB2312" w:cs="仿宋_GB2312"/>
          <w:color w:val="auto"/>
          <w:sz w:val="32"/>
          <w:szCs w:val="32"/>
          <w:highlight w:val="none"/>
          <w:lang w:eastAsia="zh-CN"/>
        </w:rPr>
        <w:t>值为有所提高，实际完成值为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，完成率100%，偏差率0%。</w:t>
      </w:r>
    </w:p>
    <w:p>
      <w:pPr>
        <w:pStyle w:val="38"/>
        <w:spacing w:line="560" w:lineRule="exact"/>
        <w:ind w:firstLine="640" w:firstLineChars="200"/>
        <w:jc w:val="both"/>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一是建立健全基金运行监测风险预警及动态调整机制，制定《新疆维吾尔自治区基本医疗保险基金运行监测及风险预警应对办法（试行）》。二是定期进行医保基金运行分析，深入分析基金收支波动情况。三是建立医保基金风险预警防控机制，将基金累计结余和可支付月数作为基本医保基金风险预警监测的关键性指标，基金风险预警分为四个等级。根据风险等级不同，采取不同措施，如发送警示函、约谈等。</w:t>
      </w:r>
    </w:p>
    <w:p>
      <w:pPr>
        <w:pStyle w:val="38"/>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d.</w:t>
      </w:r>
      <w:r>
        <w:rPr>
          <w:rFonts w:hint="eastAsia" w:ascii="仿宋_GB2312" w:hAnsi="仿宋_GB2312" w:eastAsia="仿宋_GB2312" w:cs="仿宋_GB2312"/>
          <w:b w:val="0"/>
          <w:bCs w:val="0"/>
          <w:color w:val="auto"/>
          <w:sz w:val="32"/>
          <w:szCs w:val="32"/>
          <w:highlight w:val="none"/>
          <w:lang w:eastAsia="zh-CN"/>
        </w:rPr>
        <w:t>财政部随文下达的推进医保支付方式改革</w:t>
      </w:r>
      <w:r>
        <w:rPr>
          <w:rFonts w:hint="eastAsia" w:ascii="仿宋_GB2312" w:hAnsi="仿宋_GB2312" w:eastAsia="仿宋_GB2312" w:cs="仿宋_GB2312"/>
          <w:b w:val="0"/>
          <w:bCs w:val="0"/>
          <w:color w:val="auto"/>
          <w:sz w:val="32"/>
          <w:szCs w:val="32"/>
          <w:highlight w:val="none"/>
          <w:lang w:val="en-US" w:eastAsia="zh-CN"/>
        </w:rPr>
        <w:t>指标，</w:t>
      </w:r>
      <w:r>
        <w:rPr>
          <w:rFonts w:hint="eastAsia" w:ascii="仿宋_GB2312" w:hAnsi="仿宋_GB2312" w:eastAsia="仿宋_GB2312" w:cs="仿宋_GB2312"/>
          <w:b w:val="0"/>
          <w:bCs w:val="0"/>
          <w:color w:val="auto"/>
          <w:sz w:val="32"/>
          <w:szCs w:val="32"/>
          <w:highlight w:val="none"/>
          <w:lang w:eastAsia="zh-CN"/>
        </w:rPr>
        <w:t>指标值为省</w:t>
      </w:r>
      <w:r>
        <w:rPr>
          <w:rFonts w:hint="eastAsia" w:ascii="仿宋_GB2312" w:hAnsi="仿宋_GB2312" w:eastAsia="仿宋_GB2312" w:cs="仿宋_GB2312"/>
          <w:color w:val="auto"/>
          <w:sz w:val="32"/>
          <w:szCs w:val="32"/>
          <w:highlight w:val="none"/>
          <w:lang w:eastAsia="zh-CN"/>
        </w:rPr>
        <w:t>级出台支付方式改革文件并落实到位，</w:t>
      </w:r>
      <w:r>
        <w:rPr>
          <w:rFonts w:hint="eastAsia" w:ascii="仿宋_GB2312" w:hAnsi="仿宋_GB2312" w:eastAsia="仿宋_GB2312" w:cs="仿宋_GB2312"/>
          <w:color w:val="auto"/>
          <w:sz w:val="32"/>
          <w:szCs w:val="32"/>
          <w:highlight w:val="none"/>
          <w:lang w:val="en-US" w:eastAsia="zh-CN"/>
        </w:rPr>
        <w:t>实际完成值为100%</w:t>
      </w:r>
      <w:r>
        <w:rPr>
          <w:rFonts w:hint="eastAsia" w:ascii="仿宋_GB2312" w:hAnsi="仿宋_GB2312" w:eastAsia="仿宋_GB2312" w:cs="仿宋_GB2312"/>
          <w:color w:val="auto"/>
          <w:sz w:val="32"/>
          <w:szCs w:val="32"/>
          <w:highlight w:val="none"/>
          <w:lang w:eastAsia="zh-CN"/>
        </w:rPr>
        <w:t>，完成率100%，偏差率0%。</w:t>
      </w:r>
    </w:p>
    <w:p>
      <w:pPr>
        <w:pStyle w:val="38"/>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按照《国家医疗保障局办公室关于印发按病组病种分值付费2.0版分组方案并深入推进相关工作的通知》（医保办发〔2024〕9号）要求制定印发《关于贯彻落实按病组病种分值付费2.0版分组方案并深入推进相关工作的通知》（新医保发〔2024〕60号）文件，在全疆范围内推进自治区DRG 2.0分组方案切换工作。按照国家医疗保障疾病诊断相关分组（CHS-DRG）分组方案（2.0）要求，完成分组本地化。建立并完善特例单议、预付金周转、谈判协商、意见收集和数据工作组等五大工作机制，并开展相应工作。</w:t>
      </w:r>
    </w:p>
    <w:p>
      <w:pPr>
        <w:pStyle w:val="38"/>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e.</w:t>
      </w:r>
      <w:r>
        <w:rPr>
          <w:rFonts w:hint="eastAsia" w:ascii="仿宋_GB2312" w:hAnsi="仿宋_GB2312" w:eastAsia="仿宋_GB2312" w:cs="仿宋_GB2312"/>
          <w:b w:val="0"/>
          <w:bCs w:val="0"/>
          <w:color w:val="auto"/>
          <w:sz w:val="32"/>
          <w:szCs w:val="32"/>
          <w:highlight w:val="none"/>
          <w:lang w:eastAsia="zh-CN"/>
        </w:rPr>
        <w:t>财政部随文下达的医保经办服务能力</w:t>
      </w:r>
      <w:r>
        <w:rPr>
          <w:rFonts w:hint="eastAsia" w:ascii="仿宋_GB2312" w:hAnsi="仿宋_GB2312" w:eastAsia="仿宋_GB2312" w:cs="仿宋_GB2312"/>
          <w:b w:val="0"/>
          <w:bCs w:val="0"/>
          <w:color w:val="auto"/>
          <w:sz w:val="32"/>
          <w:szCs w:val="32"/>
          <w:highlight w:val="none"/>
          <w:lang w:val="en-US" w:eastAsia="zh-CN"/>
        </w:rPr>
        <w:t>指标，</w:t>
      </w:r>
      <w:r>
        <w:rPr>
          <w:rFonts w:hint="eastAsia" w:ascii="仿宋_GB2312" w:hAnsi="仿宋_GB2312" w:eastAsia="仿宋_GB2312" w:cs="仿宋_GB2312"/>
          <w:b w:val="0"/>
          <w:bCs w:val="0"/>
          <w:color w:val="auto"/>
          <w:sz w:val="32"/>
          <w:szCs w:val="32"/>
          <w:highlight w:val="none"/>
          <w:lang w:eastAsia="zh-CN"/>
        </w:rPr>
        <w:t>指标值为有</w:t>
      </w:r>
      <w:r>
        <w:rPr>
          <w:rFonts w:hint="eastAsia" w:ascii="仿宋_GB2312" w:hAnsi="仿宋_GB2312" w:eastAsia="仿宋_GB2312" w:cs="仿宋_GB2312"/>
          <w:color w:val="auto"/>
          <w:sz w:val="32"/>
          <w:szCs w:val="32"/>
          <w:highlight w:val="none"/>
          <w:lang w:eastAsia="zh-CN"/>
        </w:rPr>
        <w:t>所提升，实际完成值为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，完成率100%，偏差率0%。</w:t>
      </w:r>
    </w:p>
    <w:p>
      <w:pPr>
        <w:pStyle w:val="38"/>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一是全疆医保经办机构共计15个，根据自治区党委编委关于印发《新疆维吾尔自治区医疗保障局所属事业单位改革方案》的通知（新党编委〔2024〕133号）文件规定，全疆经办机构归口管理、独立运行；二是医疗保障经办政务服务事项清单全面落实，实行综合柜员制和一窗办理《新疆维吾尔自治区医疗保障经办政务服务事项清单及办事指南(2023年版)》的通知（新医保发〔2023〕66 号）中明确新疆维吾尔自治区医疗保障经办政务服务事项清单、新疆维吾尔自治区医疗保障经办政务服务办事指南，以及医疗保障经办政务服务事项清单参考样表。根据关于印发《自治区医疗保障政务服务“疆内通办”实施方案》的通知（新医保发〔2023〕34号），落实服务清单和“疆内通办”。</w:t>
      </w:r>
    </w:p>
    <w:p>
      <w:pPr>
        <w:pStyle w:val="38"/>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f.</w:t>
      </w:r>
      <w:r>
        <w:rPr>
          <w:rFonts w:hint="eastAsia" w:ascii="仿宋_GB2312" w:hAnsi="仿宋_GB2312" w:eastAsia="仿宋_GB2312" w:cs="仿宋_GB2312"/>
          <w:b w:val="0"/>
          <w:bCs w:val="0"/>
          <w:color w:val="auto"/>
          <w:sz w:val="32"/>
          <w:szCs w:val="32"/>
          <w:highlight w:val="none"/>
          <w:lang w:eastAsia="zh-CN"/>
        </w:rPr>
        <w:t>财政部随文下达的医保标准化水平</w:t>
      </w:r>
      <w:r>
        <w:rPr>
          <w:rFonts w:hint="eastAsia" w:ascii="仿宋_GB2312" w:hAnsi="仿宋_GB2312" w:eastAsia="仿宋_GB2312" w:cs="仿宋_GB2312"/>
          <w:b w:val="0"/>
          <w:bCs w:val="0"/>
          <w:color w:val="auto"/>
          <w:sz w:val="32"/>
          <w:szCs w:val="32"/>
          <w:highlight w:val="none"/>
          <w:lang w:val="en-US" w:eastAsia="zh-CN"/>
        </w:rPr>
        <w:t>指标，</w:t>
      </w:r>
      <w:r>
        <w:rPr>
          <w:rFonts w:hint="eastAsia" w:ascii="仿宋_GB2312" w:hAnsi="仿宋_GB2312" w:eastAsia="仿宋_GB2312" w:cs="仿宋_GB2312"/>
          <w:b w:val="0"/>
          <w:bCs w:val="0"/>
          <w:color w:val="auto"/>
          <w:sz w:val="32"/>
          <w:szCs w:val="32"/>
          <w:highlight w:val="none"/>
          <w:lang w:eastAsia="zh-CN"/>
        </w:rPr>
        <w:t>指标值为显</w:t>
      </w:r>
      <w:r>
        <w:rPr>
          <w:rFonts w:hint="eastAsia" w:ascii="仿宋_GB2312" w:hAnsi="仿宋_GB2312" w:eastAsia="仿宋_GB2312" w:cs="仿宋_GB2312"/>
          <w:color w:val="auto"/>
          <w:sz w:val="32"/>
          <w:szCs w:val="32"/>
          <w:highlight w:val="none"/>
          <w:lang w:eastAsia="zh-CN"/>
        </w:rPr>
        <w:t>著提升，实际完成值为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，完成率100%，偏差率0%。</w:t>
      </w:r>
    </w:p>
    <w:p>
      <w:pPr>
        <w:pStyle w:val="38"/>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截至2022年年末，全区15个统筹区均已完成15项医疗保障信息业务编码贯标工作，并通过国家医疗保障局的贯标验收。2024年所有贯标动态维护正常，标准化水平显著提升。截止目前，新疆医保信息平台医保信息业务编码中有西药中成药215435条、中药饮片13545条、医疗机构制剂750条、医用耗材21615170条、医疗服务项目10539条、门诊慢特病病种163条、按病种结算病种253条、日间手术治疗项目2779条、医保系统单位赋码208家、医保系统工作人员赋码3815人、定点医疗机构赋码3098家、医保医师赋码67173人、医保护士赋码83131人、医保药学人员赋码3608人、医技人员赋码4842人、定点零售药店赋码7478家、医保药师赋码7711人。</w:t>
      </w:r>
    </w:p>
    <w:p>
      <w:pPr>
        <w:pStyle w:val="38"/>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g.</w:t>
      </w:r>
      <w:r>
        <w:rPr>
          <w:rFonts w:hint="eastAsia" w:ascii="仿宋_GB2312" w:hAnsi="仿宋_GB2312" w:eastAsia="仿宋_GB2312" w:cs="仿宋_GB2312"/>
          <w:b w:val="0"/>
          <w:bCs w:val="0"/>
          <w:color w:val="auto"/>
          <w:sz w:val="32"/>
          <w:szCs w:val="32"/>
          <w:highlight w:val="none"/>
          <w:lang w:eastAsia="zh-CN"/>
        </w:rPr>
        <w:t>财政部随文下达的开展村(社区)级医保服务、有网点提供帮办、代办服务的村(社区)覆盖率</w:t>
      </w:r>
      <w:r>
        <w:rPr>
          <w:rFonts w:hint="eastAsia" w:ascii="仿宋_GB2312" w:hAnsi="仿宋_GB2312" w:eastAsia="仿宋_GB2312" w:cs="仿宋_GB2312"/>
          <w:b w:val="0"/>
          <w:bCs w:val="0"/>
          <w:color w:val="auto"/>
          <w:sz w:val="32"/>
          <w:szCs w:val="32"/>
          <w:highlight w:val="none"/>
          <w:lang w:val="en-US" w:eastAsia="zh-CN"/>
        </w:rPr>
        <w:t>指标，</w:t>
      </w:r>
      <w:r>
        <w:rPr>
          <w:rFonts w:hint="eastAsia" w:ascii="仿宋_GB2312" w:hAnsi="仿宋_GB2312" w:eastAsia="仿宋_GB2312" w:cs="仿宋_GB2312"/>
          <w:b w:val="0"/>
          <w:bCs w:val="0"/>
          <w:color w:val="auto"/>
          <w:sz w:val="32"/>
          <w:szCs w:val="32"/>
          <w:highlight w:val="none"/>
          <w:lang w:eastAsia="zh-CN"/>
        </w:rPr>
        <w:t>指标值为</w:t>
      </w:r>
      <w:r>
        <w:rPr>
          <w:rFonts w:hint="eastAsia" w:ascii="仿宋_GB2312" w:hAnsi="仿宋_GB2312" w:eastAsia="仿宋_GB2312" w:cs="仿宋_GB2312"/>
          <w:b w:val="0"/>
          <w:bCs w:val="0"/>
          <w:color w:val="auto"/>
          <w:sz w:val="32"/>
          <w:szCs w:val="32"/>
          <w:highlight w:val="none"/>
          <w:lang w:val="en-US" w:eastAsia="zh-CN"/>
        </w:rPr>
        <w:t>大于等于</w:t>
      </w:r>
      <w:r>
        <w:rPr>
          <w:rFonts w:hint="eastAsia" w:ascii="仿宋_GB2312" w:hAnsi="仿宋_GB2312" w:eastAsia="仿宋_GB2312" w:cs="仿宋_GB2312"/>
          <w:b w:val="0"/>
          <w:bCs w:val="0"/>
          <w:color w:val="auto"/>
          <w:sz w:val="32"/>
          <w:szCs w:val="32"/>
          <w:highlight w:val="none"/>
          <w:lang w:eastAsia="zh-CN"/>
        </w:rPr>
        <w:t>60%，</w:t>
      </w:r>
      <w:r>
        <w:rPr>
          <w:rFonts w:hint="eastAsia" w:ascii="仿宋_GB2312" w:hAnsi="仿宋_GB2312" w:eastAsia="仿宋_GB2312" w:cs="仿宋_GB2312"/>
          <w:color w:val="auto"/>
          <w:sz w:val="32"/>
          <w:szCs w:val="32"/>
          <w:highlight w:val="none"/>
          <w:lang w:eastAsia="zh-CN"/>
        </w:rPr>
        <w:t>实际完成值为</w:t>
      </w:r>
      <w:r>
        <w:rPr>
          <w:rFonts w:hint="eastAsia" w:ascii="仿宋_GB2312" w:hAnsi="仿宋_GB2312" w:eastAsia="仿宋_GB2312" w:cs="仿宋_GB2312"/>
          <w:color w:val="auto"/>
          <w:sz w:val="32"/>
          <w:szCs w:val="32"/>
          <w:highlight w:val="none"/>
          <w:lang w:val="en-US" w:eastAsia="zh-CN"/>
        </w:rPr>
        <w:t>60</w:t>
      </w:r>
      <w:r>
        <w:rPr>
          <w:rFonts w:hint="eastAsia" w:ascii="仿宋_GB2312" w:hAnsi="仿宋_GB2312" w:eastAsia="仿宋_GB2312" w:cs="仿宋_GB2312"/>
          <w:color w:val="auto"/>
          <w:sz w:val="32"/>
          <w:szCs w:val="32"/>
          <w:highlight w:val="none"/>
          <w:lang w:eastAsia="zh-CN"/>
        </w:rPr>
        <w:t>%，完成率100%，偏差率0%。</w:t>
      </w:r>
    </w:p>
    <w:p>
      <w:pPr>
        <w:pStyle w:val="38"/>
        <w:spacing w:line="560" w:lineRule="exact"/>
        <w:ind w:firstLine="640" w:firstLineChars="200"/>
        <w:jc w:val="both"/>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h.</w:t>
      </w:r>
      <w:r>
        <w:rPr>
          <w:rFonts w:hint="eastAsia" w:ascii="仿宋_GB2312" w:hAnsi="仿宋_GB2312" w:eastAsia="仿宋_GB2312" w:cs="仿宋_GB2312"/>
          <w:b w:val="0"/>
          <w:bCs w:val="0"/>
          <w:color w:val="auto"/>
          <w:sz w:val="32"/>
          <w:szCs w:val="32"/>
          <w:highlight w:val="none"/>
          <w:lang w:eastAsia="zh-CN"/>
        </w:rPr>
        <w:t>财政部随文下达的提升公立医疗机构平台采购药品耗材比例</w:t>
      </w:r>
      <w:r>
        <w:rPr>
          <w:rFonts w:hint="eastAsia" w:ascii="仿宋_GB2312" w:hAnsi="仿宋_GB2312" w:eastAsia="仿宋_GB2312" w:cs="仿宋_GB2312"/>
          <w:b w:val="0"/>
          <w:bCs w:val="0"/>
          <w:color w:val="auto"/>
          <w:sz w:val="32"/>
          <w:szCs w:val="32"/>
          <w:highlight w:val="none"/>
          <w:lang w:val="en-US" w:eastAsia="zh-CN"/>
        </w:rPr>
        <w:t>指标，</w:t>
      </w:r>
      <w:r>
        <w:rPr>
          <w:rFonts w:hint="eastAsia" w:ascii="仿宋_GB2312" w:hAnsi="仿宋_GB2312" w:eastAsia="仿宋_GB2312" w:cs="仿宋_GB2312"/>
          <w:b w:val="0"/>
          <w:bCs w:val="0"/>
          <w:color w:val="auto"/>
          <w:sz w:val="32"/>
          <w:szCs w:val="32"/>
          <w:highlight w:val="none"/>
          <w:lang w:eastAsia="zh-CN"/>
        </w:rPr>
        <w:t>指标值为药品网采率≥85%；高值医用耗材网采率≥75%，药品网采率、高值医用耗材网采率按照我区现有计算公式得出，实际完成值为药品网采率85%；高值医用耗材网采率75%，完</w:t>
      </w:r>
      <w:r>
        <w:rPr>
          <w:rFonts w:hint="eastAsia" w:ascii="仿宋_GB2312" w:hAnsi="仿宋_GB2312" w:eastAsia="仿宋_GB2312" w:cs="仿宋_GB2312"/>
          <w:color w:val="auto"/>
          <w:sz w:val="32"/>
          <w:szCs w:val="32"/>
          <w:highlight w:val="none"/>
          <w:lang w:eastAsia="zh-CN"/>
        </w:rPr>
        <w:t>成率为100%，偏差率为0%。</w:t>
      </w:r>
    </w:p>
    <w:p>
      <w:pPr>
        <w:pStyle w:val="38"/>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i.</w:t>
      </w:r>
      <w:r>
        <w:rPr>
          <w:rFonts w:hint="eastAsia" w:ascii="仿宋_GB2312" w:hAnsi="仿宋_GB2312" w:eastAsia="仿宋_GB2312" w:cs="仿宋_GB2312"/>
          <w:b w:val="0"/>
          <w:bCs w:val="0"/>
          <w:color w:val="auto"/>
          <w:sz w:val="32"/>
          <w:szCs w:val="32"/>
          <w:highlight w:val="none"/>
          <w:lang w:eastAsia="zh-CN"/>
        </w:rPr>
        <w:t>财政部随文下达的医保信息系统正常运行率</w:t>
      </w:r>
      <w:r>
        <w:rPr>
          <w:rFonts w:hint="eastAsia" w:ascii="仿宋_GB2312" w:hAnsi="仿宋_GB2312" w:eastAsia="仿宋_GB2312" w:cs="仿宋_GB2312"/>
          <w:b w:val="0"/>
          <w:bCs w:val="0"/>
          <w:color w:val="auto"/>
          <w:sz w:val="32"/>
          <w:szCs w:val="32"/>
          <w:highlight w:val="none"/>
          <w:lang w:val="en-US" w:eastAsia="zh-CN"/>
        </w:rPr>
        <w:t>指标，</w:t>
      </w:r>
      <w:r>
        <w:rPr>
          <w:rFonts w:hint="eastAsia" w:ascii="仿宋_GB2312" w:hAnsi="仿宋_GB2312" w:eastAsia="仿宋_GB2312" w:cs="仿宋_GB2312"/>
          <w:b w:val="0"/>
          <w:bCs w:val="0"/>
          <w:color w:val="auto"/>
          <w:sz w:val="32"/>
          <w:szCs w:val="32"/>
          <w:highlight w:val="none"/>
          <w:lang w:eastAsia="zh-CN"/>
        </w:rPr>
        <w:t>指标</w:t>
      </w:r>
      <w:r>
        <w:rPr>
          <w:rFonts w:hint="eastAsia" w:ascii="仿宋_GB2312" w:hAnsi="仿宋_GB2312" w:eastAsia="仿宋_GB2312" w:cs="仿宋_GB2312"/>
          <w:color w:val="auto"/>
          <w:sz w:val="32"/>
          <w:szCs w:val="32"/>
          <w:highlight w:val="none"/>
          <w:lang w:eastAsia="zh-CN"/>
        </w:rPr>
        <w:t>值为</w:t>
      </w:r>
      <w:r>
        <w:rPr>
          <w:rFonts w:hint="eastAsia" w:ascii="仿宋_GB2312" w:hAnsi="仿宋_GB2312" w:eastAsia="仿宋_GB2312" w:cs="仿宋_GB2312"/>
          <w:color w:val="auto"/>
          <w:sz w:val="32"/>
          <w:szCs w:val="32"/>
          <w:highlight w:val="none"/>
          <w:lang w:val="en-US" w:eastAsia="zh-CN"/>
        </w:rPr>
        <w:t>大于等于</w:t>
      </w:r>
      <w:r>
        <w:rPr>
          <w:rFonts w:hint="eastAsia" w:ascii="仿宋_GB2312" w:hAnsi="仿宋_GB2312" w:eastAsia="仿宋_GB2312" w:cs="仿宋_GB2312"/>
          <w:color w:val="auto"/>
          <w:sz w:val="32"/>
          <w:szCs w:val="32"/>
          <w:highlight w:val="none"/>
          <w:lang w:eastAsia="zh-CN"/>
        </w:rPr>
        <w:t>90%，实际完成值为100%，完成率</w:t>
      </w:r>
      <w:r>
        <w:rPr>
          <w:rFonts w:hint="eastAsia" w:ascii="仿宋_GB2312" w:hAnsi="仿宋_GB2312" w:eastAsia="仿宋_GB2312" w:cs="仿宋_GB2312"/>
          <w:color w:val="auto"/>
          <w:sz w:val="32"/>
          <w:szCs w:val="32"/>
          <w:highlight w:val="none"/>
          <w:lang w:val="en-US" w:eastAsia="zh-CN"/>
        </w:rPr>
        <w:t>111.11</w:t>
      </w:r>
      <w:r>
        <w:rPr>
          <w:rFonts w:hint="eastAsia" w:ascii="仿宋_GB2312" w:hAnsi="仿宋_GB2312" w:eastAsia="仿宋_GB2312" w:cs="仿宋_GB2312"/>
          <w:color w:val="auto"/>
          <w:sz w:val="32"/>
          <w:szCs w:val="32"/>
          <w:highlight w:val="none"/>
          <w:lang w:eastAsia="zh-CN"/>
        </w:rPr>
        <w:t>%，偏差率</w:t>
      </w:r>
      <w:r>
        <w:rPr>
          <w:rFonts w:hint="eastAsia" w:ascii="仿宋_GB2312" w:hAnsi="仿宋_GB2312" w:eastAsia="仿宋_GB2312" w:cs="仿宋_GB2312"/>
          <w:color w:val="auto"/>
          <w:sz w:val="32"/>
          <w:szCs w:val="32"/>
          <w:highlight w:val="none"/>
          <w:lang w:val="en-US" w:eastAsia="zh-CN"/>
        </w:rPr>
        <w:t>11.11</w:t>
      </w:r>
      <w:r>
        <w:rPr>
          <w:rFonts w:hint="eastAsia" w:ascii="仿宋_GB2312" w:hAnsi="仿宋_GB2312" w:eastAsia="仿宋_GB2312" w:cs="仿宋_GB2312"/>
          <w:color w:val="auto"/>
          <w:sz w:val="32"/>
          <w:szCs w:val="32"/>
          <w:highlight w:val="none"/>
          <w:lang w:eastAsia="zh-CN"/>
        </w:rPr>
        <w:t>%。</w:t>
      </w:r>
    </w:p>
    <w:p>
      <w:pPr>
        <w:pStyle w:val="38"/>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自治区医疗保障局制定《自治区医疗保障局网络安全工作责任制实施办法》、《医保信息平台运维管理制度》等七项制度，信息系统主要包括20个应用子系统（本地自建4个）、核心业务区业务中台21个、公共服务区业务中台12个、数据中台1个，并配套制定安全运营保障应急预案、安全监测制度、各类指南等，各系统正常运行率100%。</w:t>
      </w:r>
    </w:p>
    <w:p>
      <w:pPr>
        <w:pStyle w:val="38"/>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j.</w:t>
      </w:r>
      <w:r>
        <w:rPr>
          <w:rFonts w:hint="eastAsia" w:ascii="仿宋_GB2312" w:hAnsi="仿宋_GB2312" w:eastAsia="仿宋_GB2312" w:cs="仿宋_GB2312"/>
          <w:b w:val="0"/>
          <w:bCs w:val="0"/>
          <w:color w:val="auto"/>
          <w:sz w:val="32"/>
          <w:szCs w:val="32"/>
          <w:highlight w:val="none"/>
          <w:lang w:eastAsia="zh-CN"/>
        </w:rPr>
        <w:t>财政部随文下达的国谈药等相关药品落地及统计监测情况</w:t>
      </w:r>
      <w:r>
        <w:rPr>
          <w:rFonts w:hint="eastAsia" w:ascii="仿宋_GB2312" w:hAnsi="仿宋_GB2312" w:eastAsia="仿宋_GB2312" w:cs="仿宋_GB2312"/>
          <w:b w:val="0"/>
          <w:bCs w:val="0"/>
          <w:color w:val="auto"/>
          <w:sz w:val="32"/>
          <w:szCs w:val="32"/>
          <w:highlight w:val="none"/>
          <w:lang w:val="en-US" w:eastAsia="zh-CN"/>
        </w:rPr>
        <w:t>指标，</w:t>
      </w:r>
      <w:r>
        <w:rPr>
          <w:rFonts w:hint="eastAsia" w:ascii="仿宋_GB2312" w:hAnsi="仿宋_GB2312" w:eastAsia="仿宋_GB2312" w:cs="仿宋_GB2312"/>
          <w:b w:val="0"/>
          <w:bCs w:val="0"/>
          <w:color w:val="auto"/>
          <w:sz w:val="32"/>
          <w:szCs w:val="32"/>
          <w:highlight w:val="none"/>
          <w:lang w:eastAsia="zh-CN"/>
        </w:rPr>
        <w:t>指</w:t>
      </w:r>
      <w:r>
        <w:rPr>
          <w:rFonts w:hint="eastAsia" w:ascii="仿宋_GB2312" w:hAnsi="仿宋_GB2312" w:eastAsia="仿宋_GB2312" w:cs="仿宋_GB2312"/>
          <w:color w:val="auto"/>
          <w:sz w:val="32"/>
          <w:szCs w:val="32"/>
          <w:highlight w:val="none"/>
          <w:lang w:eastAsia="zh-CN"/>
        </w:rPr>
        <w:t>标值为国谈药品落地数据报送及时率100%，实际完成值为100%，完成率100%，偏差率0%。</w:t>
      </w:r>
    </w:p>
    <w:p>
      <w:pPr>
        <w:pStyle w:val="38"/>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自治区医疗保障局</w:t>
      </w:r>
      <w:r>
        <w:rPr>
          <w:rFonts w:hint="eastAsia" w:ascii="仿宋_GB2312" w:hAnsi="仿宋_GB2312" w:eastAsia="仿宋_GB2312" w:cs="仿宋_GB2312"/>
          <w:color w:val="auto"/>
          <w:sz w:val="32"/>
          <w:szCs w:val="32"/>
          <w:highlight w:val="none"/>
          <w:lang w:eastAsia="zh-CN"/>
        </w:rPr>
        <w:t>印发《关于动态调整“双通道”管理药品名单的通知》（新医保发〔2023〕70号），动态调整“双通道”药品，将229种药品纳入“双通道”管理。2024年1-12月，全区谈判药使用总人次共计381.6万，使用总费用共计23.58亿元，医保基金支出共计18.85亿元。</w:t>
      </w:r>
      <w:r>
        <w:rPr>
          <w:rFonts w:hint="eastAsia" w:ascii="仿宋_GB2312" w:hAnsi="仿宋_GB2312" w:eastAsia="仿宋_GB2312" w:cs="仿宋_GB2312"/>
          <w:color w:val="auto"/>
          <w:sz w:val="32"/>
          <w:szCs w:val="32"/>
          <w:highlight w:val="none"/>
          <w:lang w:eastAsia="zh-CN"/>
        </w:rPr>
        <w:t>按照国家医保</w:t>
      </w:r>
      <w:r>
        <w:rPr>
          <w:rFonts w:hint="eastAsia" w:ascii="仿宋_GB2312" w:hAnsi="仿宋_GB2312" w:eastAsia="仿宋_GB2312" w:cs="仿宋_GB2312"/>
          <w:color w:val="auto"/>
          <w:sz w:val="32"/>
          <w:szCs w:val="32"/>
          <w:highlight w:val="none"/>
          <w:lang w:eastAsia="zh-CN"/>
        </w:rPr>
        <w:t>局服务司工作要求，每月结束后次月开始调取谈判药品使用数量和结算金额（注：精确到每一个谈判药品）的情况并按时上报相关信息。2024年，国谈药落地数据及时报送率100%。</w:t>
      </w:r>
    </w:p>
    <w:p>
      <w:pPr>
        <w:pStyle w:val="38"/>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k.</w:t>
      </w:r>
      <w:r>
        <w:rPr>
          <w:rFonts w:hint="eastAsia" w:ascii="仿宋_GB2312" w:hAnsi="仿宋_GB2312" w:eastAsia="仿宋_GB2312" w:cs="仿宋_GB2312"/>
          <w:b w:val="0"/>
          <w:bCs w:val="0"/>
          <w:color w:val="auto"/>
          <w:sz w:val="32"/>
          <w:szCs w:val="32"/>
          <w:highlight w:val="none"/>
          <w:lang w:eastAsia="zh-CN"/>
        </w:rPr>
        <w:t>财政部随文下达的医疗服务价格动态调整与深化医疗服务价格改革试点执行情况</w:t>
      </w:r>
      <w:r>
        <w:rPr>
          <w:rFonts w:hint="eastAsia" w:ascii="仿宋_GB2312" w:hAnsi="仿宋_GB2312" w:eastAsia="仿宋_GB2312" w:cs="仿宋_GB2312"/>
          <w:b w:val="0"/>
          <w:bCs w:val="0"/>
          <w:color w:val="auto"/>
          <w:sz w:val="32"/>
          <w:szCs w:val="32"/>
          <w:highlight w:val="none"/>
          <w:lang w:val="en-US" w:eastAsia="zh-CN"/>
        </w:rPr>
        <w:t>指标，</w:t>
      </w:r>
      <w:r>
        <w:rPr>
          <w:rFonts w:hint="eastAsia" w:ascii="仿宋_GB2312" w:hAnsi="仿宋_GB2312" w:eastAsia="仿宋_GB2312" w:cs="仿宋_GB2312"/>
          <w:b w:val="0"/>
          <w:bCs w:val="0"/>
          <w:color w:val="auto"/>
          <w:sz w:val="32"/>
          <w:szCs w:val="32"/>
          <w:highlight w:val="none"/>
          <w:lang w:eastAsia="zh-CN"/>
        </w:rPr>
        <w:t>指标值为按</w:t>
      </w:r>
      <w:r>
        <w:rPr>
          <w:rFonts w:hint="eastAsia" w:ascii="仿宋_GB2312" w:hAnsi="仿宋_GB2312" w:eastAsia="仿宋_GB2312" w:cs="仿宋_GB2312"/>
          <w:color w:val="auto"/>
          <w:sz w:val="32"/>
          <w:szCs w:val="32"/>
          <w:highlight w:val="none"/>
          <w:lang w:eastAsia="zh-CN"/>
        </w:rPr>
        <w:t>要求开展调价评估并进行调价，确保医疗服务价格管理与深化医疗服务价格改革方向一致，实际完成值为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，完成率100%，偏差率0%。</w:t>
      </w:r>
    </w:p>
    <w:p>
      <w:pPr>
        <w:pStyle w:val="38"/>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按照《国家医疗保障局办公室关于建立医疗服务价格重要事项报告制度的通知》（医保办函〔2021〕18号）要求，我局联合兵团医保局于6月前共同开展了2024年度医疗服务价格动态调整评估工作。根据《关于印发《新疆维吾尔自治区、新疆生产建设兵团医疗服务价格动态调整机制（试行）》的通知》（新医保发〔2022〕15号），按照“符合任一启动条件同时未触发任一约束条件的实施价格动态调整；启动条件均未符合或触发任一约束条件的，暂停价格动态调整”的要求，2024年新疆维吾尔自治区和新疆生产建设兵团不符合调价启动条件，本年度医疗服务价格不实施动态调整。</w:t>
      </w:r>
    </w:p>
    <w:p>
      <w:pPr>
        <w:pStyle w:val="38"/>
        <w:spacing w:line="560" w:lineRule="exact"/>
        <w:ind w:firstLine="640" w:firstLineChars="200"/>
        <w:jc w:val="both"/>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l.</w:t>
      </w:r>
      <w:r>
        <w:rPr>
          <w:rFonts w:hint="eastAsia" w:ascii="仿宋_GB2312" w:hAnsi="仿宋_GB2312" w:eastAsia="仿宋_GB2312" w:cs="仿宋_GB2312"/>
          <w:color w:val="auto"/>
          <w:sz w:val="32"/>
          <w:szCs w:val="32"/>
          <w:highlight w:val="none"/>
          <w:lang w:eastAsia="zh-CN"/>
        </w:rPr>
        <w:t>财政部随文下达的集中带量采购落实情况</w:t>
      </w:r>
      <w:r>
        <w:rPr>
          <w:rFonts w:hint="eastAsia" w:ascii="仿宋_GB2312" w:hAnsi="仿宋_GB2312" w:eastAsia="仿宋_GB2312" w:cs="仿宋_GB2312"/>
          <w:color w:val="auto"/>
          <w:sz w:val="32"/>
          <w:szCs w:val="32"/>
          <w:highlight w:val="none"/>
          <w:lang w:val="en-US" w:eastAsia="zh-CN"/>
        </w:rPr>
        <w:t>指标，</w:t>
      </w:r>
      <w:r>
        <w:rPr>
          <w:rFonts w:hint="eastAsia" w:ascii="仿宋_GB2312" w:hAnsi="仿宋_GB2312" w:eastAsia="仿宋_GB2312" w:cs="仿宋_GB2312"/>
          <w:color w:val="auto"/>
          <w:sz w:val="32"/>
          <w:szCs w:val="32"/>
          <w:highlight w:val="none"/>
          <w:lang w:eastAsia="zh-CN"/>
        </w:rPr>
        <w:t>指标值为完成国家组织集中采购中选产品约定采购量，</w:t>
      </w:r>
      <w:r>
        <w:rPr>
          <w:rFonts w:hint="eastAsia" w:ascii="仿宋_GB2312" w:hAnsi="仿宋_GB2312" w:eastAsia="仿宋_GB2312" w:cs="仿宋_GB2312"/>
          <w:color w:val="auto"/>
          <w:sz w:val="32"/>
          <w:szCs w:val="32"/>
          <w:highlight w:val="none"/>
          <w:lang w:val="en-US" w:eastAsia="zh-CN"/>
        </w:rPr>
        <w:t>实际完成值为100%，</w:t>
      </w:r>
      <w:r>
        <w:rPr>
          <w:rFonts w:hint="eastAsia" w:ascii="仿宋_GB2312" w:hAnsi="仿宋_GB2312" w:eastAsia="仿宋_GB2312" w:cs="仿宋_GB2312"/>
          <w:color w:val="auto"/>
          <w:sz w:val="32"/>
          <w:szCs w:val="32"/>
          <w:highlight w:val="none"/>
          <w:lang w:eastAsia="zh-CN"/>
        </w:rPr>
        <w:t>完成率为100%，偏差率为0%。</w:t>
      </w:r>
    </w:p>
    <w:p>
      <w:pPr>
        <w:pStyle w:val="38"/>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m.</w:t>
      </w:r>
      <w:r>
        <w:rPr>
          <w:rFonts w:hint="eastAsia" w:ascii="仿宋_GB2312" w:hAnsi="仿宋_GB2312" w:eastAsia="仿宋_GB2312" w:cs="仿宋_GB2312"/>
          <w:b w:val="0"/>
          <w:bCs w:val="0"/>
          <w:color w:val="auto"/>
          <w:sz w:val="32"/>
          <w:szCs w:val="32"/>
          <w:highlight w:val="none"/>
          <w:lang w:eastAsia="zh-CN"/>
        </w:rPr>
        <w:t>财政部随文下达的医药价格和招采信用评价制度建立和实施情况</w:t>
      </w:r>
      <w:r>
        <w:rPr>
          <w:rFonts w:hint="eastAsia" w:ascii="仿宋_GB2312" w:hAnsi="仿宋_GB2312" w:eastAsia="仿宋_GB2312" w:cs="仿宋_GB2312"/>
          <w:b w:val="0"/>
          <w:bCs w:val="0"/>
          <w:color w:val="auto"/>
          <w:sz w:val="32"/>
          <w:szCs w:val="32"/>
          <w:highlight w:val="none"/>
          <w:lang w:val="en-US" w:eastAsia="zh-CN"/>
        </w:rPr>
        <w:t>指标，</w:t>
      </w:r>
      <w:r>
        <w:rPr>
          <w:rFonts w:hint="eastAsia" w:ascii="仿宋_GB2312" w:hAnsi="仿宋_GB2312" w:eastAsia="仿宋_GB2312" w:cs="仿宋_GB2312"/>
          <w:b w:val="0"/>
          <w:bCs w:val="0"/>
          <w:color w:val="auto"/>
          <w:sz w:val="32"/>
          <w:szCs w:val="32"/>
          <w:highlight w:val="none"/>
          <w:lang w:eastAsia="zh-CN"/>
        </w:rPr>
        <w:t>指</w:t>
      </w:r>
      <w:r>
        <w:rPr>
          <w:rFonts w:hint="eastAsia" w:ascii="仿宋_GB2312" w:hAnsi="仿宋_GB2312" w:eastAsia="仿宋_GB2312" w:cs="仿宋_GB2312"/>
          <w:color w:val="auto"/>
          <w:sz w:val="32"/>
          <w:szCs w:val="32"/>
          <w:highlight w:val="none"/>
          <w:lang w:eastAsia="zh-CN"/>
        </w:rPr>
        <w:t>标值为限定时限内反馈案源处理情况，实际完成值为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，完成率100%，偏差率</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eastAsia="zh-CN"/>
        </w:rPr>
        <w:t>%。</w:t>
      </w:r>
    </w:p>
    <w:p>
      <w:pPr>
        <w:pStyle w:val="38"/>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我局与自治区政务服务和公共资源交易中心共同制定《关于建立自治区医药价格和招采信用评价制度的通知》（新医保〔2020〕136号），指导全区常态化实施医药价格和招采信用评价制度。限定时限内反馈案源处理情况，根据国家局每季推送的案源信息，开展具体信用评级工作并反馈国家局工作情况，其中第二季评级和第一季度评级结果相同，已完成了第一、三、四季度的信用评级工作。</w:t>
      </w:r>
    </w:p>
    <w:p>
      <w:pPr>
        <w:pStyle w:val="38"/>
        <w:spacing w:line="560" w:lineRule="exact"/>
        <w:ind w:firstLine="640" w:firstLineChars="200"/>
        <w:jc w:val="both"/>
        <w:rPr>
          <w:rFonts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n.财政部随文下达的</w:t>
      </w:r>
      <w:r>
        <w:rPr>
          <w:rFonts w:hint="eastAsia" w:ascii="仿宋_GB2312" w:hAnsi="仿宋_GB2312" w:eastAsia="仿宋_GB2312" w:cs="仿宋_GB2312"/>
          <w:b w:val="0"/>
          <w:bCs w:val="0"/>
          <w:color w:val="auto"/>
          <w:sz w:val="32"/>
          <w:szCs w:val="32"/>
          <w:highlight w:val="none"/>
          <w:lang w:eastAsia="zh-CN"/>
        </w:rPr>
        <w:t>招采子系统落地应用情况</w:t>
      </w:r>
      <w:r>
        <w:rPr>
          <w:rFonts w:hint="eastAsia" w:ascii="仿宋_GB2312" w:hAnsi="仿宋_GB2312" w:eastAsia="仿宋_GB2312" w:cs="仿宋_GB2312"/>
          <w:b w:val="0"/>
          <w:bCs w:val="0"/>
          <w:color w:val="auto"/>
          <w:sz w:val="32"/>
          <w:szCs w:val="32"/>
          <w:highlight w:val="none"/>
          <w:lang w:val="en-US" w:eastAsia="zh-CN"/>
        </w:rPr>
        <w:t>指标，</w:t>
      </w:r>
      <w:r>
        <w:rPr>
          <w:rFonts w:hint="eastAsia" w:ascii="仿宋_GB2312" w:hAnsi="仿宋_GB2312" w:eastAsia="仿宋_GB2312" w:cs="仿宋_GB2312"/>
          <w:b w:val="0"/>
          <w:bCs w:val="0"/>
          <w:color w:val="auto"/>
          <w:sz w:val="32"/>
          <w:szCs w:val="32"/>
          <w:highlight w:val="none"/>
          <w:lang w:eastAsia="zh-CN"/>
        </w:rPr>
        <w:t>指标值为实现交易、采购等核心功能应用，目前</w:t>
      </w:r>
      <w:r>
        <w:rPr>
          <w:rFonts w:hint="eastAsia" w:ascii="仿宋_GB2312" w:hAnsi="仿宋_GB2312" w:eastAsia="仿宋_GB2312" w:cs="仿宋_GB2312"/>
          <w:b w:val="0"/>
          <w:bCs w:val="0"/>
          <w:color w:val="auto"/>
          <w:sz w:val="32"/>
          <w:szCs w:val="32"/>
          <w:highlight w:val="none"/>
          <w:lang w:val="en-US" w:eastAsia="zh-CN"/>
        </w:rPr>
        <w:t>我区</w:t>
      </w:r>
      <w:r>
        <w:rPr>
          <w:rFonts w:hint="eastAsia" w:ascii="仿宋_GB2312" w:hAnsi="仿宋_GB2312" w:eastAsia="仿宋_GB2312" w:cs="仿宋_GB2312"/>
          <w:b w:val="0"/>
          <w:bCs w:val="0"/>
          <w:color w:val="auto"/>
          <w:sz w:val="32"/>
          <w:szCs w:val="32"/>
          <w:highlight w:val="none"/>
          <w:lang w:eastAsia="zh-CN"/>
        </w:rPr>
        <w:t>招采子系统已全面落地应用，实现交易采购等核心功能应用，实际完成值为</w:t>
      </w:r>
      <w:r>
        <w:rPr>
          <w:rFonts w:hint="eastAsia" w:ascii="仿宋_GB2312" w:hAnsi="仿宋_GB2312"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lang w:eastAsia="zh-CN"/>
        </w:rPr>
        <w:t>，完成率100%，偏差率0%。</w:t>
      </w:r>
    </w:p>
    <w:p>
      <w:pPr>
        <w:pStyle w:val="38"/>
        <w:spacing w:line="560" w:lineRule="exact"/>
        <w:ind w:firstLine="640" w:firstLineChars="200"/>
        <w:jc w:val="both"/>
        <w:rPr>
          <w:rFonts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o.财政部随文下达的</w:t>
      </w:r>
      <w:r>
        <w:rPr>
          <w:rFonts w:hint="eastAsia" w:ascii="仿宋_GB2312" w:hAnsi="仿宋_GB2312" w:eastAsia="仿宋_GB2312" w:cs="仿宋_GB2312"/>
          <w:b w:val="0"/>
          <w:bCs w:val="0"/>
          <w:color w:val="auto"/>
          <w:sz w:val="32"/>
          <w:szCs w:val="32"/>
          <w:highlight w:val="none"/>
          <w:lang w:eastAsia="zh-CN"/>
        </w:rPr>
        <w:t>医保目录管理规范性情况</w:t>
      </w:r>
      <w:r>
        <w:rPr>
          <w:rFonts w:hint="eastAsia" w:ascii="仿宋_GB2312" w:hAnsi="仿宋_GB2312" w:eastAsia="仿宋_GB2312" w:cs="仿宋_GB2312"/>
          <w:b w:val="0"/>
          <w:bCs w:val="0"/>
          <w:color w:val="auto"/>
          <w:sz w:val="32"/>
          <w:szCs w:val="32"/>
          <w:highlight w:val="none"/>
          <w:lang w:val="en-US" w:eastAsia="zh-CN"/>
        </w:rPr>
        <w:t>指标，</w:t>
      </w:r>
      <w:r>
        <w:rPr>
          <w:rFonts w:hint="eastAsia" w:ascii="仿宋_GB2312" w:hAnsi="仿宋_GB2312" w:eastAsia="仿宋_GB2312" w:cs="仿宋_GB2312"/>
          <w:b w:val="0"/>
          <w:bCs w:val="0"/>
          <w:color w:val="auto"/>
          <w:sz w:val="32"/>
          <w:szCs w:val="32"/>
          <w:highlight w:val="none"/>
          <w:lang w:eastAsia="zh-CN"/>
        </w:rPr>
        <w:t>指标值为年内未出现违反目录管理政策情况，实际完成值为</w:t>
      </w:r>
      <w:r>
        <w:rPr>
          <w:rFonts w:hint="eastAsia" w:ascii="仿宋_GB2312" w:hAnsi="仿宋_GB2312"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lang w:eastAsia="zh-CN"/>
        </w:rPr>
        <w:t>，完成率100%，偏差率0%。</w:t>
      </w:r>
    </w:p>
    <w:p>
      <w:pPr>
        <w:pStyle w:val="38"/>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2024年1月，</w:t>
      </w:r>
      <w:r>
        <w:rPr>
          <w:rFonts w:hint="eastAsia" w:ascii="仿宋_GB2312" w:hAnsi="仿宋_GB2312" w:eastAsia="仿宋_GB2312" w:cs="仿宋_GB2312"/>
          <w:color w:val="auto"/>
          <w:sz w:val="32"/>
          <w:szCs w:val="32"/>
          <w:highlight w:val="none"/>
          <w:lang w:val="en-US" w:eastAsia="zh-CN"/>
        </w:rPr>
        <w:t>我局</w:t>
      </w:r>
      <w:r>
        <w:rPr>
          <w:rFonts w:hint="eastAsia" w:ascii="仿宋_GB2312" w:hAnsi="仿宋_GB2312" w:eastAsia="仿宋_GB2312" w:cs="仿宋_GB2312"/>
          <w:color w:val="auto"/>
          <w:sz w:val="32"/>
          <w:szCs w:val="32"/>
          <w:highlight w:val="none"/>
          <w:lang w:eastAsia="zh-CN"/>
        </w:rPr>
        <w:t>联合兵团</w:t>
      </w:r>
      <w:r>
        <w:rPr>
          <w:rFonts w:hint="eastAsia" w:ascii="仿宋_GB2312" w:hAnsi="仿宋_GB2312" w:eastAsia="仿宋_GB2312" w:cs="仿宋_GB2312"/>
          <w:color w:val="auto"/>
          <w:sz w:val="32"/>
          <w:szCs w:val="32"/>
          <w:highlight w:val="none"/>
          <w:lang w:val="en-US" w:eastAsia="zh-CN"/>
        </w:rPr>
        <w:t>医保局</w:t>
      </w:r>
      <w:r>
        <w:rPr>
          <w:rFonts w:hint="eastAsia" w:ascii="仿宋_GB2312" w:hAnsi="仿宋_GB2312" w:eastAsia="仿宋_GB2312" w:cs="仿宋_GB2312"/>
          <w:color w:val="auto"/>
          <w:sz w:val="32"/>
          <w:szCs w:val="32"/>
          <w:highlight w:val="none"/>
          <w:lang w:eastAsia="zh-CN"/>
        </w:rPr>
        <w:t>印发《关于执行《国家基本医疗保险、工伤保险和生育保险药品目录（2023年）》的通知》，自2024年1月1日起，全区统一执行“2023版药品目录”，共3088种，其中西药1698种、中成药1390种，协议期内谈判药品397种，医保目录管理规范。我区年内未出现违反目录管理政策情况。</w:t>
      </w:r>
    </w:p>
    <w:p>
      <w:pPr>
        <w:pStyle w:val="7"/>
        <w:spacing w:line="560" w:lineRule="exact"/>
        <w:ind w:firstLine="658" w:firstLineChars="200"/>
        <w:jc w:val="both"/>
        <w:rPr>
          <w:rFonts w:ascii="仿宋_GB2312" w:hAnsi="仿宋_GB2312" w:eastAsia="仿宋_GB2312" w:cs="仿宋_GB2312"/>
          <w:b/>
          <w:bCs/>
          <w:color w:val="auto"/>
          <w:spacing w:val="4"/>
          <w:sz w:val="32"/>
          <w:szCs w:val="32"/>
          <w:highlight w:val="none"/>
          <w:lang w:eastAsia="zh-CN"/>
        </w:rPr>
      </w:pPr>
      <w:r>
        <w:rPr>
          <w:rFonts w:hint="eastAsia" w:ascii="仿宋_GB2312" w:hAnsi="仿宋_GB2312" w:eastAsia="仿宋_GB2312" w:cs="仿宋_GB2312"/>
          <w:b/>
          <w:bCs/>
          <w:color w:val="auto"/>
          <w:spacing w:val="4"/>
          <w:sz w:val="32"/>
          <w:szCs w:val="32"/>
          <w:highlight w:val="none"/>
          <w:lang w:eastAsia="zh-CN"/>
        </w:rPr>
        <w:t>（</w:t>
      </w:r>
      <w:r>
        <w:rPr>
          <w:rFonts w:hint="eastAsia" w:ascii="仿宋_GB2312" w:hAnsi="仿宋_GB2312" w:eastAsia="仿宋_GB2312" w:cs="仿宋_GB2312"/>
          <w:b/>
          <w:bCs/>
          <w:color w:val="auto"/>
          <w:spacing w:val="4"/>
          <w:sz w:val="32"/>
          <w:szCs w:val="32"/>
          <w:highlight w:val="none"/>
          <w:lang w:val="en-US" w:eastAsia="zh-CN"/>
        </w:rPr>
        <w:t>3</w:t>
      </w:r>
      <w:r>
        <w:rPr>
          <w:rFonts w:hint="eastAsia" w:ascii="仿宋_GB2312" w:hAnsi="仿宋_GB2312" w:eastAsia="仿宋_GB2312" w:cs="仿宋_GB2312"/>
          <w:b/>
          <w:bCs/>
          <w:color w:val="auto"/>
          <w:spacing w:val="4"/>
          <w:sz w:val="32"/>
          <w:szCs w:val="32"/>
          <w:highlight w:val="none"/>
          <w:lang w:eastAsia="zh-CN"/>
        </w:rPr>
        <w:t>）时效指标</w:t>
      </w:r>
    </w:p>
    <w:p>
      <w:pPr>
        <w:pStyle w:val="38"/>
        <w:spacing w:line="560" w:lineRule="exact"/>
        <w:ind w:firstLine="640" w:firstLineChars="200"/>
        <w:jc w:val="both"/>
        <w:rPr>
          <w:rFonts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a.</w:t>
      </w:r>
      <w:r>
        <w:rPr>
          <w:rFonts w:hint="eastAsia" w:ascii="仿宋_GB2312" w:hAnsi="仿宋_GB2312" w:eastAsia="仿宋_GB2312" w:cs="仿宋_GB2312"/>
          <w:b w:val="0"/>
          <w:bCs w:val="0"/>
          <w:color w:val="auto"/>
          <w:sz w:val="32"/>
          <w:szCs w:val="32"/>
          <w:highlight w:val="none"/>
          <w:lang w:eastAsia="zh-CN"/>
        </w:rPr>
        <w:t>财政部随文下达的医保信息系统重大安全事件响应时间</w:t>
      </w:r>
      <w:r>
        <w:rPr>
          <w:rFonts w:hint="eastAsia" w:ascii="仿宋_GB2312" w:hAnsi="仿宋_GB2312" w:eastAsia="仿宋_GB2312" w:cs="仿宋_GB2312"/>
          <w:b w:val="0"/>
          <w:bCs w:val="0"/>
          <w:color w:val="auto"/>
          <w:sz w:val="32"/>
          <w:szCs w:val="32"/>
          <w:highlight w:val="none"/>
          <w:lang w:val="en-US" w:eastAsia="zh-CN"/>
        </w:rPr>
        <w:t>指标，</w:t>
      </w:r>
      <w:r>
        <w:rPr>
          <w:rFonts w:hint="eastAsia" w:ascii="仿宋_GB2312" w:hAnsi="仿宋_GB2312" w:eastAsia="仿宋_GB2312" w:cs="仿宋_GB2312"/>
          <w:b w:val="0"/>
          <w:bCs w:val="0"/>
          <w:color w:val="auto"/>
          <w:sz w:val="32"/>
          <w:szCs w:val="32"/>
          <w:highlight w:val="none"/>
          <w:lang w:eastAsia="zh-CN"/>
        </w:rPr>
        <w:t xml:space="preserve">指标值为小于等于60分钟，实际完成值为60分钟，完成率100%，偏差率0%。  </w:t>
      </w:r>
    </w:p>
    <w:p>
      <w:pPr>
        <w:pStyle w:val="38"/>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自治区医疗保障信息平台分A、B两个数据中心，业务验证正常，数据一致；经过容灾演练测试，证明自治区医疗保障局在A或B数据中心故障场景下，具备业务切换，测试预期相符，RTO&lt;30分钟，满足医保行业5级容灾要求。对照《地方医疗保障信息平台验收指南》自查及检查，全部符合要求。此外。自治区医疗保障局定期开展网络安全攻防演练和渗透测试，开展常态化监测管理工作。每周对全平台漏洞扫描，每月对安全巡检工作进行总结，形成安全月报，并进行信息安全等级保护、密码测评整改工作，截至目前，所有网络安全攻击均有效及时处置，未出现重大安全隐患。我区医保信息系统重大安全事件响应时间未超过60分钟。</w:t>
      </w:r>
    </w:p>
    <w:p>
      <w:pPr>
        <w:pStyle w:val="38"/>
        <w:spacing w:line="560" w:lineRule="exact"/>
        <w:ind w:firstLine="640" w:firstLineChars="200"/>
        <w:jc w:val="both"/>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b.</w:t>
      </w:r>
      <w:r>
        <w:rPr>
          <w:rFonts w:hint="eastAsia" w:ascii="仿宋_GB2312" w:hAnsi="仿宋_GB2312" w:eastAsia="仿宋_GB2312" w:cs="仿宋_GB2312"/>
          <w:b w:val="0"/>
          <w:bCs w:val="0"/>
          <w:color w:val="auto"/>
          <w:sz w:val="32"/>
          <w:szCs w:val="32"/>
          <w:highlight w:val="none"/>
          <w:lang w:eastAsia="zh-CN"/>
        </w:rPr>
        <w:t>财政部随文下达的医保信息系统运行维护响应时间</w:t>
      </w:r>
      <w:r>
        <w:rPr>
          <w:rFonts w:hint="eastAsia" w:ascii="仿宋_GB2312" w:hAnsi="仿宋_GB2312" w:eastAsia="仿宋_GB2312" w:cs="仿宋_GB2312"/>
          <w:b w:val="0"/>
          <w:bCs w:val="0"/>
          <w:color w:val="auto"/>
          <w:sz w:val="32"/>
          <w:szCs w:val="32"/>
          <w:highlight w:val="none"/>
          <w:lang w:val="en-US" w:eastAsia="zh-CN"/>
        </w:rPr>
        <w:t>指标，</w:t>
      </w:r>
      <w:r>
        <w:rPr>
          <w:rFonts w:hint="eastAsia" w:ascii="仿宋_GB2312" w:hAnsi="仿宋_GB2312" w:eastAsia="仿宋_GB2312" w:cs="仿宋_GB2312"/>
          <w:color w:val="auto"/>
          <w:sz w:val="32"/>
          <w:szCs w:val="32"/>
          <w:highlight w:val="none"/>
          <w:lang w:eastAsia="zh-CN"/>
        </w:rPr>
        <w:t>指标值为小于等于30分钟，实际完成值为30分钟，完成率为100%，偏差率0%。</w:t>
      </w:r>
    </w:p>
    <w:p>
      <w:pPr>
        <w:pStyle w:val="38"/>
        <w:spacing w:line="560" w:lineRule="exact"/>
        <w:ind w:firstLine="640" w:firstLineChars="200"/>
        <w:jc w:val="both"/>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通过统一需求和问题反馈平台，统一资产和配置运维管理平台，统一业务连续性监测和运维智能客服平台，医保信息系统出现故障可在30分钟内做到正常运行。</w:t>
      </w:r>
    </w:p>
    <w:p>
      <w:pPr>
        <w:pStyle w:val="38"/>
        <w:spacing w:line="560" w:lineRule="exact"/>
        <w:ind w:firstLine="640" w:firstLineChars="200"/>
        <w:jc w:val="both"/>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成本指标</w:t>
      </w:r>
    </w:p>
    <w:p>
      <w:pPr>
        <w:pStyle w:val="38"/>
        <w:spacing w:line="560" w:lineRule="exact"/>
        <w:ind w:firstLine="640" w:firstLineChars="200"/>
        <w:jc w:val="both"/>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财政部随文下达的绩效目标未设定</w:t>
      </w:r>
      <w:r>
        <w:rPr>
          <w:rFonts w:hint="eastAsia" w:ascii="仿宋_GB2312" w:hAnsi="仿宋_GB2312" w:eastAsia="仿宋_GB2312" w:cs="仿宋_GB2312"/>
          <w:color w:val="auto"/>
          <w:sz w:val="32"/>
          <w:szCs w:val="32"/>
          <w:highlight w:val="none"/>
          <w:lang w:val="en-US" w:eastAsia="zh-CN"/>
        </w:rPr>
        <w:t>成本</w:t>
      </w:r>
      <w:r>
        <w:rPr>
          <w:rFonts w:hint="eastAsia" w:ascii="仿宋_GB2312" w:hAnsi="仿宋_GB2312" w:eastAsia="仿宋_GB2312" w:cs="仿宋_GB2312"/>
          <w:color w:val="auto"/>
          <w:sz w:val="32"/>
          <w:szCs w:val="32"/>
          <w:highlight w:val="none"/>
          <w:lang w:eastAsia="zh-CN"/>
        </w:rPr>
        <w:t>指标。</w:t>
      </w:r>
    </w:p>
    <w:p>
      <w:pPr>
        <w:pStyle w:val="38"/>
        <w:keepNext w:val="0"/>
        <w:keepLines w:val="0"/>
        <w:pageBreakBefore w:val="0"/>
        <w:widowControl/>
        <w:kinsoku w:val="0"/>
        <w:wordWrap/>
        <w:overflowPunct/>
        <w:topLinePunct w:val="0"/>
        <w:autoSpaceDE w:val="0"/>
        <w:autoSpaceDN w:val="0"/>
        <w:bidi w:val="0"/>
        <w:adjustRightInd w:val="0"/>
        <w:snapToGrid w:val="0"/>
        <w:spacing w:line="560" w:lineRule="exact"/>
        <w:ind w:firstLine="642" w:firstLineChars="200"/>
        <w:jc w:val="both"/>
        <w:textAlignment w:val="baseline"/>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2.效益指标</w:t>
      </w:r>
    </w:p>
    <w:p>
      <w:pPr>
        <w:pStyle w:val="38"/>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（1）经济效益指标</w:t>
      </w:r>
    </w:p>
    <w:p>
      <w:pPr>
        <w:pStyle w:val="38"/>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财政部随文下达绩效目标中未</w:t>
      </w:r>
      <w:r>
        <w:rPr>
          <w:rFonts w:hint="eastAsia" w:ascii="仿宋_GB2312" w:hAnsi="仿宋_GB2312" w:eastAsia="仿宋_GB2312" w:cs="仿宋_GB2312"/>
          <w:color w:val="auto"/>
          <w:sz w:val="32"/>
          <w:szCs w:val="32"/>
          <w:highlight w:val="none"/>
          <w:lang w:val="en-US" w:eastAsia="zh-CN"/>
        </w:rPr>
        <w:t>设定</w:t>
      </w:r>
      <w:r>
        <w:rPr>
          <w:rFonts w:hint="default" w:ascii="仿宋_GB2312" w:hAnsi="仿宋_GB2312" w:eastAsia="仿宋_GB2312" w:cs="仿宋_GB2312"/>
          <w:color w:val="auto"/>
          <w:sz w:val="32"/>
          <w:szCs w:val="32"/>
          <w:highlight w:val="none"/>
          <w:lang w:val="en-US" w:eastAsia="zh-CN"/>
        </w:rPr>
        <w:t>经济效益指标。</w:t>
      </w:r>
    </w:p>
    <w:p>
      <w:pPr>
        <w:pStyle w:val="38"/>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（2）社会效益指标</w:t>
      </w:r>
    </w:p>
    <w:p>
      <w:pPr>
        <w:pStyle w:val="38"/>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财政部随文下达绩效目标中未</w:t>
      </w:r>
      <w:r>
        <w:rPr>
          <w:rFonts w:hint="eastAsia" w:ascii="仿宋_GB2312" w:hAnsi="仿宋_GB2312" w:eastAsia="仿宋_GB2312" w:cs="仿宋_GB2312"/>
          <w:color w:val="auto"/>
          <w:sz w:val="32"/>
          <w:szCs w:val="32"/>
          <w:highlight w:val="none"/>
          <w:lang w:val="en-US" w:eastAsia="zh-CN"/>
        </w:rPr>
        <w:t>设定</w:t>
      </w:r>
      <w:r>
        <w:rPr>
          <w:rFonts w:hint="default" w:ascii="仿宋_GB2312" w:hAnsi="仿宋_GB2312" w:eastAsia="仿宋_GB2312" w:cs="仿宋_GB2312"/>
          <w:color w:val="auto"/>
          <w:sz w:val="32"/>
          <w:szCs w:val="32"/>
          <w:highlight w:val="none"/>
          <w:lang w:val="en-US" w:eastAsia="zh-CN"/>
        </w:rPr>
        <w:t>社会效益指标。</w:t>
      </w:r>
    </w:p>
    <w:p>
      <w:pPr>
        <w:pStyle w:val="38"/>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（3）生态效益指标</w:t>
      </w:r>
    </w:p>
    <w:p>
      <w:pPr>
        <w:pStyle w:val="38"/>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财政部随文下达绩效目标中未</w:t>
      </w:r>
      <w:r>
        <w:rPr>
          <w:rFonts w:hint="eastAsia" w:ascii="仿宋_GB2312" w:hAnsi="仿宋_GB2312" w:eastAsia="仿宋_GB2312" w:cs="仿宋_GB2312"/>
          <w:color w:val="auto"/>
          <w:sz w:val="32"/>
          <w:szCs w:val="32"/>
          <w:highlight w:val="none"/>
          <w:lang w:val="en-US" w:eastAsia="zh-CN"/>
        </w:rPr>
        <w:t>设定</w:t>
      </w:r>
      <w:r>
        <w:rPr>
          <w:rFonts w:hint="default" w:ascii="仿宋_GB2312" w:hAnsi="仿宋_GB2312" w:eastAsia="仿宋_GB2312" w:cs="仿宋_GB2312"/>
          <w:color w:val="auto"/>
          <w:sz w:val="32"/>
          <w:szCs w:val="32"/>
          <w:highlight w:val="none"/>
          <w:lang w:val="en-US" w:eastAsia="zh-CN"/>
        </w:rPr>
        <w:t>生态效益指标。</w:t>
      </w:r>
    </w:p>
    <w:p>
      <w:pPr>
        <w:pStyle w:val="38"/>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（4）可持续影响指标</w:t>
      </w:r>
    </w:p>
    <w:p>
      <w:pPr>
        <w:pStyle w:val="38"/>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财政部随文下达绩效目标中未</w:t>
      </w:r>
      <w:r>
        <w:rPr>
          <w:rFonts w:hint="eastAsia" w:ascii="仿宋_GB2312" w:hAnsi="仿宋_GB2312" w:eastAsia="仿宋_GB2312" w:cs="仿宋_GB2312"/>
          <w:color w:val="auto"/>
          <w:sz w:val="32"/>
          <w:szCs w:val="32"/>
          <w:highlight w:val="none"/>
          <w:lang w:val="en-US" w:eastAsia="zh-CN"/>
        </w:rPr>
        <w:t>设定</w:t>
      </w:r>
      <w:r>
        <w:rPr>
          <w:rFonts w:hint="default" w:ascii="仿宋_GB2312" w:hAnsi="仿宋_GB2312" w:eastAsia="仿宋_GB2312" w:cs="仿宋_GB2312"/>
          <w:color w:val="auto"/>
          <w:sz w:val="32"/>
          <w:szCs w:val="32"/>
          <w:highlight w:val="none"/>
          <w:lang w:val="en-US" w:eastAsia="zh-CN"/>
        </w:rPr>
        <w:t>可持续影响指标。</w:t>
      </w:r>
    </w:p>
    <w:p>
      <w:pPr>
        <w:pStyle w:val="7"/>
        <w:keepNext w:val="0"/>
        <w:keepLines w:val="0"/>
        <w:pageBreakBefore w:val="0"/>
        <w:widowControl/>
        <w:kinsoku w:val="0"/>
        <w:wordWrap/>
        <w:overflowPunct/>
        <w:topLinePunct w:val="0"/>
        <w:autoSpaceDE w:val="0"/>
        <w:autoSpaceDN w:val="0"/>
        <w:bidi w:val="0"/>
        <w:adjustRightInd w:val="0"/>
        <w:snapToGrid w:val="0"/>
        <w:spacing w:line="560" w:lineRule="exact"/>
        <w:ind w:firstLine="658" w:firstLineChars="200"/>
        <w:jc w:val="both"/>
        <w:textAlignment w:val="baseline"/>
        <w:rPr>
          <w:rFonts w:hint="default" w:ascii="仿宋_GB2312" w:hAnsi="仿宋_GB2312" w:eastAsia="仿宋_GB2312" w:cs="仿宋_GB2312"/>
          <w:b/>
          <w:bCs/>
          <w:color w:val="auto"/>
          <w:spacing w:val="4"/>
          <w:sz w:val="32"/>
          <w:szCs w:val="32"/>
          <w:highlight w:val="none"/>
          <w:lang w:val="en-US" w:eastAsia="zh-CN"/>
        </w:rPr>
      </w:pPr>
      <w:r>
        <w:rPr>
          <w:rFonts w:hint="eastAsia" w:ascii="仿宋_GB2312" w:hAnsi="仿宋_GB2312" w:eastAsia="仿宋_GB2312" w:cs="仿宋_GB2312"/>
          <w:b/>
          <w:bCs/>
          <w:color w:val="auto"/>
          <w:spacing w:val="4"/>
          <w:sz w:val="32"/>
          <w:szCs w:val="32"/>
          <w:highlight w:val="none"/>
          <w:lang w:val="en-US" w:eastAsia="zh-CN"/>
        </w:rPr>
        <w:t>3.项目满意度指标</w:t>
      </w:r>
    </w:p>
    <w:p>
      <w:pPr>
        <w:pStyle w:val="7"/>
        <w:spacing w:line="560" w:lineRule="exact"/>
        <w:ind w:firstLine="656" w:firstLineChars="200"/>
        <w:jc w:val="both"/>
        <w:rPr>
          <w:rFonts w:ascii="仿宋_GB2312" w:hAnsi="仿宋_GB2312" w:eastAsia="仿宋_GB2312" w:cs="仿宋_GB2312"/>
          <w:b w:val="0"/>
          <w:bCs w:val="0"/>
          <w:color w:val="auto"/>
          <w:spacing w:val="4"/>
          <w:sz w:val="32"/>
          <w:szCs w:val="32"/>
          <w:highlight w:val="none"/>
          <w:lang w:eastAsia="zh-CN"/>
        </w:rPr>
      </w:pPr>
      <w:r>
        <w:rPr>
          <w:rFonts w:hint="eastAsia" w:ascii="仿宋_GB2312" w:hAnsi="仿宋_GB2312" w:eastAsia="仿宋_GB2312" w:cs="仿宋_GB2312"/>
          <w:b w:val="0"/>
          <w:bCs w:val="0"/>
          <w:color w:val="auto"/>
          <w:spacing w:val="4"/>
          <w:sz w:val="32"/>
          <w:szCs w:val="32"/>
          <w:highlight w:val="none"/>
          <w:lang w:eastAsia="zh-CN"/>
        </w:rPr>
        <w:t>服务对象满意度指标</w:t>
      </w:r>
    </w:p>
    <w:p>
      <w:pPr>
        <w:spacing w:line="560" w:lineRule="exact"/>
        <w:ind w:firstLine="640" w:firstLineChars="200"/>
        <w:jc w:val="both"/>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eastAsia="zh-CN"/>
        </w:rPr>
        <w:t>财政部随文下达的参保人员对医保服务的满意度</w:t>
      </w:r>
      <w:r>
        <w:rPr>
          <w:rFonts w:hint="eastAsia" w:ascii="仿宋_GB2312" w:hAnsi="仿宋_GB2312" w:eastAsia="仿宋_GB2312" w:cs="仿宋_GB2312"/>
          <w:b w:val="0"/>
          <w:bCs w:val="0"/>
          <w:color w:val="auto"/>
          <w:sz w:val="32"/>
          <w:szCs w:val="32"/>
          <w:highlight w:val="none"/>
          <w:lang w:val="en-US" w:eastAsia="zh-CN"/>
        </w:rPr>
        <w:t>指标，</w:t>
      </w:r>
      <w:r>
        <w:rPr>
          <w:rFonts w:hint="eastAsia" w:ascii="仿宋_GB2312" w:hAnsi="仿宋_GB2312" w:eastAsia="仿宋_GB2312" w:cs="仿宋_GB2312"/>
          <w:b w:val="0"/>
          <w:bCs w:val="0"/>
          <w:color w:val="auto"/>
          <w:sz w:val="32"/>
          <w:szCs w:val="32"/>
          <w:highlight w:val="none"/>
          <w:lang w:eastAsia="zh-CN"/>
        </w:rPr>
        <w:t>指标值为</w:t>
      </w:r>
      <w:r>
        <w:rPr>
          <w:rFonts w:hint="eastAsia" w:ascii="仿宋_GB2312" w:hAnsi="仿宋_GB2312" w:eastAsia="仿宋_GB2312" w:cs="仿宋_GB2312"/>
          <w:b w:val="0"/>
          <w:bCs w:val="0"/>
          <w:color w:val="auto"/>
          <w:sz w:val="32"/>
          <w:szCs w:val="32"/>
          <w:highlight w:val="none"/>
          <w:lang w:val="en-US" w:eastAsia="zh-CN"/>
        </w:rPr>
        <w:t>大于等于</w:t>
      </w:r>
      <w:r>
        <w:rPr>
          <w:rFonts w:hint="eastAsia" w:ascii="仿宋_GB2312" w:hAnsi="仿宋_GB2312" w:eastAsia="仿宋_GB2312" w:cs="仿宋_GB2312"/>
          <w:b w:val="0"/>
          <w:bCs w:val="0"/>
          <w:color w:val="auto"/>
          <w:sz w:val="32"/>
          <w:szCs w:val="32"/>
          <w:highlight w:val="none"/>
          <w:lang w:eastAsia="zh-CN"/>
        </w:rPr>
        <w:t>8</w:t>
      </w:r>
      <w:r>
        <w:rPr>
          <w:rFonts w:hint="eastAsia" w:ascii="仿宋_GB2312" w:hAnsi="仿宋_GB2312" w:eastAsia="仿宋_GB2312" w:cs="仿宋_GB2312"/>
          <w:color w:val="auto"/>
          <w:sz w:val="32"/>
          <w:szCs w:val="32"/>
          <w:highlight w:val="none"/>
          <w:lang w:eastAsia="zh-CN"/>
        </w:rPr>
        <w:t>5%，</w:t>
      </w:r>
      <w:r>
        <w:rPr>
          <w:rFonts w:hint="eastAsia" w:ascii="仿宋_GB2312" w:hAnsi="仿宋_GB2312" w:eastAsia="仿宋_GB2312" w:cs="仿宋_GB2312"/>
          <w:color w:val="auto"/>
          <w:sz w:val="32"/>
          <w:szCs w:val="32"/>
          <w:highlight w:val="none"/>
          <w:lang w:val="en-US" w:eastAsia="zh-CN"/>
        </w:rPr>
        <w:t>实际完成值99.99%，</w:t>
      </w:r>
      <w:r>
        <w:rPr>
          <w:rFonts w:hint="eastAsia" w:ascii="仿宋_GB2312" w:hAnsi="仿宋_GB2312" w:eastAsia="仿宋_GB2312" w:cs="仿宋_GB2312"/>
          <w:color w:val="auto"/>
          <w:sz w:val="32"/>
          <w:szCs w:val="32"/>
          <w:highlight w:val="none"/>
          <w:lang w:eastAsia="zh-CN"/>
        </w:rPr>
        <w:t>完成率</w:t>
      </w:r>
      <w:r>
        <w:rPr>
          <w:rFonts w:hint="eastAsia" w:ascii="仿宋_GB2312" w:hAnsi="仿宋_GB2312" w:eastAsia="仿宋_GB2312" w:cs="仿宋_GB2312"/>
          <w:color w:val="auto"/>
          <w:sz w:val="32"/>
          <w:szCs w:val="32"/>
          <w:highlight w:val="none"/>
          <w:lang w:val="en-US" w:eastAsia="zh-CN"/>
        </w:rPr>
        <w:t>117.64</w:t>
      </w:r>
      <w:r>
        <w:rPr>
          <w:rFonts w:hint="eastAsia" w:ascii="仿宋_GB2312" w:hAnsi="仿宋_GB2312" w:eastAsia="仿宋_GB2312" w:cs="仿宋_GB2312"/>
          <w:color w:val="auto"/>
          <w:sz w:val="32"/>
          <w:szCs w:val="32"/>
          <w:highlight w:val="none"/>
          <w:lang w:eastAsia="zh-CN"/>
        </w:rPr>
        <w:t>%，偏差率</w:t>
      </w:r>
      <w:r>
        <w:rPr>
          <w:rFonts w:hint="eastAsia" w:ascii="仿宋_GB2312" w:hAnsi="仿宋_GB2312" w:eastAsia="仿宋_GB2312" w:cs="仿宋_GB2312"/>
          <w:color w:val="auto"/>
          <w:sz w:val="32"/>
          <w:szCs w:val="32"/>
          <w:highlight w:val="none"/>
          <w:lang w:val="en-US" w:eastAsia="zh-CN"/>
        </w:rPr>
        <w:t>17.64</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firstLine="620" w:firstLineChars="200"/>
        <w:textAlignment w:val="auto"/>
        <w:rPr>
          <w:rFonts w:ascii="黑体" w:hAnsi="黑体" w:eastAsia="黑体" w:cs="黑体"/>
          <w:color w:val="auto"/>
          <w:spacing w:val="-5"/>
          <w:sz w:val="32"/>
          <w:szCs w:val="32"/>
          <w:highlight w:val="none"/>
          <w:lang w:eastAsia="zh-CN"/>
        </w:rPr>
      </w:pPr>
      <w:r>
        <w:rPr>
          <w:rFonts w:hint="eastAsia" w:ascii="黑体" w:hAnsi="黑体" w:eastAsia="黑体" w:cs="黑体"/>
          <w:color w:val="auto"/>
          <w:spacing w:val="-5"/>
          <w:sz w:val="32"/>
          <w:szCs w:val="32"/>
          <w:highlight w:val="none"/>
          <w:lang w:eastAsia="zh-CN"/>
        </w:rPr>
        <w:t>三 、偏离绩效目标的原因和下一步改进措施</w:t>
      </w:r>
    </w:p>
    <w:p>
      <w:pPr>
        <w:numPr>
          <w:ilvl w:val="0"/>
          <w:numId w:val="0"/>
        </w:numPr>
        <w:spacing w:line="560" w:lineRule="exact"/>
        <w:ind w:firstLine="640" w:firstLineChars="200"/>
        <w:jc w:val="both"/>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1.偏离的绩效目标</w:t>
      </w:r>
    </w:p>
    <w:p>
      <w:pPr>
        <w:numPr>
          <w:ilvl w:val="0"/>
          <w:numId w:val="0"/>
        </w:numPr>
        <w:spacing w:line="560" w:lineRule="exact"/>
        <w:ind w:firstLine="640" w:firstLineChars="200"/>
        <w:jc w:val="both"/>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新疆维吾尔自治区医疗服务与保障能力提升补助资金（医疗保障服务能力建设部分）经过自评，按照财政部设定的绩效目标均已全部完成，未出现偏离超过30%的情况。</w:t>
      </w:r>
    </w:p>
    <w:p>
      <w:pPr>
        <w:numPr>
          <w:ilvl w:val="0"/>
          <w:numId w:val="0"/>
        </w:numPr>
        <w:spacing w:line="560" w:lineRule="exact"/>
        <w:ind w:firstLine="640" w:firstLineChars="200"/>
        <w:jc w:val="both"/>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2.下一步改进措施</w:t>
      </w:r>
    </w:p>
    <w:p>
      <w:pPr>
        <w:numPr>
          <w:ilvl w:val="0"/>
          <w:numId w:val="0"/>
        </w:numPr>
        <w:spacing w:line="560" w:lineRule="exact"/>
        <w:ind w:firstLine="640" w:firstLineChars="200"/>
        <w:jc w:val="both"/>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a.项目实施过程中存在不足</w:t>
      </w:r>
    </w:p>
    <w:p>
      <w:pPr>
        <w:numPr>
          <w:ilvl w:val="0"/>
          <w:numId w:val="0"/>
        </w:numPr>
        <w:spacing w:line="560" w:lineRule="exact"/>
        <w:ind w:firstLine="640" w:firstLineChars="200"/>
        <w:jc w:val="both"/>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2024年度</w:t>
      </w:r>
      <w:r>
        <w:rPr>
          <w:rFonts w:hint="eastAsia" w:ascii="仿宋_GB2312" w:hAnsi="仿宋_GB2312" w:eastAsia="仿宋_GB2312" w:cs="仿宋_GB2312"/>
          <w:b w:val="0"/>
          <w:bCs w:val="0"/>
          <w:color w:val="auto"/>
          <w:sz w:val="32"/>
          <w:szCs w:val="32"/>
          <w:highlight w:val="none"/>
          <w:lang w:val="en-US" w:eastAsia="zh-CN"/>
        </w:rPr>
        <w:t>自治区医疗保障局</w:t>
      </w:r>
      <w:r>
        <w:rPr>
          <w:rFonts w:hint="eastAsia" w:ascii="仿宋_GB2312" w:hAnsi="仿宋_GB2312" w:eastAsia="仿宋_GB2312" w:cs="仿宋_GB2312"/>
          <w:b w:val="0"/>
          <w:bCs w:val="0"/>
          <w:color w:val="auto"/>
          <w:sz w:val="32"/>
          <w:szCs w:val="32"/>
          <w:highlight w:val="none"/>
          <w:lang w:val="en-US" w:eastAsia="zh-CN"/>
        </w:rPr>
        <w:t>能力提升补助资金执行率89.6%，存在主要问题是个别地（州、市）执行率低于90%，主要原因如下：（1）项目签订为跨年合同，2024年底未到支付节点，部分款项尚未支付；（2）低价中标，按照预算有结余资金。</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b.下一步改进措施</w:t>
      </w:r>
    </w:p>
    <w:p>
      <w:pPr>
        <w:numPr>
          <w:ilvl w:val="0"/>
          <w:numId w:val="0"/>
        </w:numPr>
        <w:spacing w:line="560" w:lineRule="exact"/>
        <w:ind w:firstLine="640" w:firstLineChars="200"/>
        <w:jc w:val="both"/>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一强化预算的精准性；</w:t>
      </w:r>
      <w:r>
        <w:rPr>
          <w:rFonts w:hint="eastAsia" w:ascii="仿宋_GB2312" w:hAnsi="仿宋_GB2312" w:eastAsia="仿宋_GB2312" w:cs="仿宋_GB2312"/>
          <w:b w:val="0"/>
          <w:bCs w:val="0"/>
          <w:color w:val="auto"/>
          <w:sz w:val="32"/>
          <w:szCs w:val="32"/>
          <w:highlight w:val="none"/>
          <w:lang w:val="en-US" w:eastAsia="zh-CN"/>
        </w:rPr>
        <w:t>二是建立能力提升补助资金预算执行调度督办机制，对序时进度慢的地区进行督办。</w:t>
      </w:r>
    </w:p>
    <w:p>
      <w:pPr>
        <w:autoSpaceDE/>
        <w:autoSpaceDN/>
        <w:adjustRightInd/>
        <w:spacing w:line="560" w:lineRule="exact"/>
        <w:ind w:firstLine="620" w:firstLineChars="200"/>
        <w:jc w:val="both"/>
        <w:outlineLvl w:val="0"/>
        <w:rPr>
          <w:rFonts w:ascii="黑体" w:hAnsi="黑体" w:eastAsia="黑体" w:cs="黑体"/>
          <w:color w:val="auto"/>
          <w:spacing w:val="-5"/>
          <w:sz w:val="32"/>
          <w:szCs w:val="32"/>
          <w:highlight w:val="none"/>
          <w:lang w:eastAsia="zh-CN"/>
        </w:rPr>
      </w:pPr>
      <w:r>
        <w:rPr>
          <w:rFonts w:hint="eastAsia" w:ascii="黑体" w:hAnsi="黑体" w:eastAsia="黑体" w:cs="黑体"/>
          <w:color w:val="auto"/>
          <w:spacing w:val="-5"/>
          <w:sz w:val="32"/>
          <w:szCs w:val="32"/>
          <w:highlight w:val="none"/>
          <w:lang w:eastAsia="zh-CN"/>
        </w:rPr>
        <w:t>四 、绩效自评结果拟应用和公开情况</w:t>
      </w:r>
    </w:p>
    <w:p>
      <w:pPr>
        <w:pStyle w:val="7"/>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按照财政部《项目支出绩效评价管理办法》（财预〔2020〕10号）规定，单位自评标准是：预算执行10分、产出指标50分、效益指标30分、服务对象满意度指标10分。经自评，202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年度新疆维吾尔自治区医疗服务与保障能力提升补助资金（医疗保障服务能力建设部分）绩效自评价得分为</w:t>
      </w:r>
      <w:r>
        <w:rPr>
          <w:rFonts w:hint="eastAsia" w:ascii="仿宋_GB2312" w:hAnsi="仿宋_GB2312" w:eastAsia="仿宋_GB2312" w:cs="仿宋_GB2312"/>
          <w:color w:val="auto"/>
          <w:sz w:val="32"/>
          <w:szCs w:val="32"/>
          <w:highlight w:val="none"/>
          <w:lang w:val="en-US" w:eastAsia="zh-CN"/>
        </w:rPr>
        <w:t>98.96</w:t>
      </w:r>
      <w:r>
        <w:rPr>
          <w:rFonts w:hint="eastAsia" w:ascii="仿宋_GB2312" w:hAnsi="仿宋_GB2312" w:eastAsia="仿宋_GB2312" w:cs="仿宋_GB2312"/>
          <w:color w:val="auto"/>
          <w:sz w:val="32"/>
          <w:szCs w:val="32"/>
          <w:highlight w:val="none"/>
          <w:lang w:eastAsia="zh-CN"/>
        </w:rPr>
        <w:t>分，其中：预算执行</w:t>
      </w:r>
      <w:r>
        <w:rPr>
          <w:rFonts w:hint="eastAsia" w:ascii="仿宋_GB2312" w:hAnsi="仿宋_GB2312" w:eastAsia="仿宋_GB2312" w:cs="仿宋_GB2312"/>
          <w:color w:val="auto"/>
          <w:sz w:val="32"/>
          <w:szCs w:val="32"/>
          <w:highlight w:val="none"/>
          <w:lang w:val="en-US" w:eastAsia="zh-CN"/>
        </w:rPr>
        <w:t>8.96</w:t>
      </w:r>
      <w:r>
        <w:rPr>
          <w:rFonts w:hint="eastAsia" w:ascii="仿宋_GB2312" w:hAnsi="仿宋_GB2312" w:eastAsia="仿宋_GB2312" w:cs="仿宋_GB2312"/>
          <w:color w:val="auto"/>
          <w:sz w:val="32"/>
          <w:szCs w:val="32"/>
          <w:highlight w:val="none"/>
          <w:lang w:eastAsia="zh-CN"/>
        </w:rPr>
        <w:t>分、产出指标</w:t>
      </w:r>
      <w:r>
        <w:rPr>
          <w:rFonts w:hint="eastAsia" w:ascii="仿宋_GB2312" w:hAnsi="仿宋_GB2312" w:eastAsia="仿宋_GB2312" w:cs="仿宋_GB2312"/>
          <w:color w:val="auto"/>
          <w:sz w:val="32"/>
          <w:szCs w:val="32"/>
          <w:highlight w:val="none"/>
          <w:lang w:val="en-US" w:eastAsia="zh-CN"/>
        </w:rPr>
        <w:t>50</w:t>
      </w:r>
      <w:r>
        <w:rPr>
          <w:rFonts w:hint="eastAsia" w:ascii="仿宋_GB2312" w:hAnsi="仿宋_GB2312" w:eastAsia="仿宋_GB2312" w:cs="仿宋_GB2312"/>
          <w:color w:val="auto"/>
          <w:sz w:val="32"/>
          <w:szCs w:val="32"/>
          <w:highlight w:val="none"/>
          <w:lang w:eastAsia="zh-CN"/>
        </w:rPr>
        <w:t>分、效益指标30分、服务对象满意度指标</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lang w:eastAsia="zh-CN"/>
        </w:rPr>
        <w:t>分，自评结果为“优”。</w:t>
      </w:r>
    </w:p>
    <w:p>
      <w:pPr>
        <w:pStyle w:val="7"/>
        <w:numPr>
          <w:ilvl w:val="0"/>
          <w:numId w:val="0"/>
        </w:numPr>
        <w:spacing w:line="560" w:lineRule="exact"/>
        <w:ind w:firstLine="640" w:firstLineChars="200"/>
        <w:jc w:val="both"/>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将自评结果作为全过程预算绩效管理的落脚点，及时整理、归纳、分析、反馈绩效自评结果，绩效评价结束后，将绩效评价结果及时反馈给各地市，要求其针对存在问题，完善制度，改进措施，提高管理水平。将绩效评价结果与预算挂钩，结果作为重要因素直接参与能力提升补助资金分配。</w:t>
      </w:r>
    </w:p>
    <w:p>
      <w:pPr>
        <w:pStyle w:val="7"/>
        <w:spacing w:line="560" w:lineRule="exact"/>
        <w:ind w:firstLine="640" w:firstLineChars="200"/>
        <w:jc w:val="both"/>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公开情况：评价结果在</w:t>
      </w:r>
      <w:r>
        <w:rPr>
          <w:rFonts w:hint="eastAsia" w:ascii="仿宋_GB2312" w:hAnsi="仿宋_GB2312" w:eastAsia="仿宋_GB2312" w:cs="仿宋_GB2312"/>
          <w:color w:val="auto"/>
          <w:sz w:val="32"/>
          <w:szCs w:val="32"/>
          <w:highlight w:val="none"/>
          <w:lang w:eastAsia="zh-CN"/>
        </w:rPr>
        <w:t>自治区</w:t>
      </w:r>
      <w:r>
        <w:rPr>
          <w:rFonts w:hint="eastAsia" w:ascii="仿宋_GB2312" w:hAnsi="仿宋_GB2312" w:eastAsia="仿宋_GB2312" w:cs="仿宋_GB2312"/>
          <w:color w:val="auto"/>
          <w:sz w:val="32"/>
          <w:szCs w:val="32"/>
          <w:highlight w:val="none"/>
          <w:lang w:val="en-US" w:eastAsia="zh-CN"/>
        </w:rPr>
        <w:t>医疗保障局</w:t>
      </w:r>
      <w:r>
        <w:rPr>
          <w:rFonts w:hint="eastAsia" w:ascii="仿宋_GB2312" w:hAnsi="仿宋_GB2312" w:eastAsia="仿宋_GB2312" w:cs="仿宋_GB2312"/>
          <w:color w:val="auto"/>
          <w:sz w:val="32"/>
          <w:szCs w:val="32"/>
          <w:highlight w:val="none"/>
          <w:lang w:eastAsia="zh-CN"/>
        </w:rPr>
        <w:t>、自治区财政门户网站进行公开，回应社会关切，接受社会监督。</w:t>
      </w:r>
    </w:p>
    <w:p>
      <w:pPr>
        <w:autoSpaceDE/>
        <w:autoSpaceDN/>
        <w:adjustRightInd/>
        <w:spacing w:line="560" w:lineRule="exact"/>
        <w:ind w:firstLine="620" w:firstLineChars="200"/>
        <w:jc w:val="both"/>
        <w:outlineLvl w:val="0"/>
        <w:rPr>
          <w:rFonts w:ascii="黑体" w:hAnsi="黑体" w:eastAsia="黑体" w:cs="黑体"/>
          <w:color w:val="auto"/>
          <w:spacing w:val="-5"/>
          <w:sz w:val="32"/>
          <w:szCs w:val="32"/>
          <w:highlight w:val="none"/>
          <w:lang w:eastAsia="zh-CN"/>
        </w:rPr>
      </w:pPr>
      <w:r>
        <w:rPr>
          <w:rFonts w:hint="eastAsia" w:ascii="黑体" w:hAnsi="黑体" w:eastAsia="黑体" w:cs="黑体"/>
          <w:color w:val="auto"/>
          <w:spacing w:val="-5"/>
          <w:sz w:val="32"/>
          <w:szCs w:val="32"/>
          <w:highlight w:val="none"/>
          <w:lang w:eastAsia="zh-CN"/>
        </w:rPr>
        <w:t>五、其他需要说明的问题</w:t>
      </w:r>
    </w:p>
    <w:p>
      <w:pPr>
        <w:spacing w:line="560" w:lineRule="exact"/>
        <w:ind w:firstLine="640" w:firstLineChars="200"/>
        <w:jc w:val="both"/>
        <w:outlineLvl w:val="0"/>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在中央巡视、各级审计和财政监督中未发现问题。</w:t>
      </w:r>
    </w:p>
    <w:p>
      <w:pPr>
        <w:autoSpaceDE/>
        <w:autoSpaceDN/>
        <w:adjustRightInd/>
        <w:spacing w:line="560" w:lineRule="exact"/>
        <w:ind w:firstLine="620" w:firstLineChars="200"/>
        <w:jc w:val="both"/>
        <w:outlineLvl w:val="0"/>
        <w:rPr>
          <w:rFonts w:ascii="黑体" w:hAnsi="黑体" w:eastAsia="黑体" w:cs="黑体"/>
          <w:color w:val="auto"/>
          <w:spacing w:val="-5"/>
          <w:sz w:val="32"/>
          <w:szCs w:val="32"/>
          <w:highlight w:val="none"/>
        </w:rPr>
      </w:pPr>
      <w:r>
        <w:rPr>
          <w:rFonts w:hint="eastAsia" w:ascii="黑体" w:hAnsi="黑体" w:eastAsia="黑体" w:cs="黑体"/>
          <w:color w:val="auto"/>
          <w:spacing w:val="-5"/>
          <w:sz w:val="32"/>
          <w:szCs w:val="32"/>
          <w:highlight w:val="none"/>
        </w:rPr>
        <w:t>六 、附件</w:t>
      </w:r>
    </w:p>
    <w:p>
      <w:pPr>
        <w:rPr>
          <w:color w:val="auto"/>
          <w:sz w:val="32"/>
          <w:szCs w:val="32"/>
          <w:highlight w:val="none"/>
        </w:rPr>
      </w:pPr>
      <w:r>
        <w:rPr>
          <w:color w:val="auto"/>
          <w:sz w:val="32"/>
          <w:szCs w:val="32"/>
          <w:highlight w:val="none"/>
        </w:rPr>
        <w:br w:type="page"/>
      </w:r>
    </w:p>
    <w:p>
      <w:pPr>
        <w:pStyle w:val="38"/>
        <w:rPr>
          <w:color w:val="auto"/>
          <w:highlight w:val="none"/>
        </w:rPr>
      </w:pPr>
    </w:p>
    <w:tbl>
      <w:tblPr>
        <w:tblStyle w:val="14"/>
        <w:tblW w:w="5000" w:type="pct"/>
        <w:tblInd w:w="0" w:type="dxa"/>
        <w:tblLayout w:type="autofit"/>
        <w:tblCellMar>
          <w:top w:w="0" w:type="dxa"/>
          <w:left w:w="108" w:type="dxa"/>
          <w:bottom w:w="0" w:type="dxa"/>
          <w:right w:w="108" w:type="dxa"/>
        </w:tblCellMar>
      </w:tblPr>
      <w:tblGrid>
        <w:gridCol w:w="528"/>
        <w:gridCol w:w="528"/>
        <w:gridCol w:w="1282"/>
        <w:gridCol w:w="1441"/>
        <w:gridCol w:w="1016"/>
        <w:gridCol w:w="1384"/>
        <w:gridCol w:w="1412"/>
        <w:gridCol w:w="1357"/>
      </w:tblGrid>
      <w:tr>
        <w:tblPrEx>
          <w:tblCellMar>
            <w:top w:w="0" w:type="dxa"/>
            <w:left w:w="108" w:type="dxa"/>
            <w:bottom w:w="0" w:type="dxa"/>
            <w:right w:w="108" w:type="dxa"/>
          </w:tblCellMar>
        </w:tblPrEx>
        <w:trPr>
          <w:trHeight w:val="540" w:hRule="atLeast"/>
        </w:trPr>
        <w:tc>
          <w:tcPr>
            <w:tcW w:w="5000" w:type="pct"/>
            <w:gridSpan w:val="8"/>
            <w:tcBorders>
              <w:top w:val="nil"/>
              <w:left w:val="nil"/>
              <w:bottom w:val="nil"/>
              <w:right w:val="nil"/>
            </w:tcBorders>
            <w:shd w:val="clear" w:color="auto" w:fill="auto"/>
            <w:vAlign w:val="center"/>
          </w:tcPr>
          <w:p>
            <w:pPr>
              <w:jc w:val="center"/>
              <w:textAlignment w:val="center"/>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b/>
                <w:bCs/>
                <w:color w:val="auto"/>
                <w:sz w:val="28"/>
                <w:szCs w:val="28"/>
                <w:highlight w:val="none"/>
                <w:lang w:eastAsia="zh-CN"/>
              </w:rPr>
              <w:t>新疆维吾尔自治区医疗服务与保障能力提升补助资金</w:t>
            </w:r>
            <w:r>
              <w:rPr>
                <w:rStyle w:val="41"/>
                <w:rFonts w:hint="eastAsia" w:ascii="仿宋_GB2312" w:hAnsi="仿宋_GB2312" w:eastAsia="仿宋_GB2312" w:cs="仿宋_GB2312"/>
                <w:b/>
                <w:bCs/>
                <w:color w:val="auto"/>
                <w:highlight w:val="none"/>
                <w:lang w:eastAsia="zh-CN"/>
              </w:rPr>
              <w:t>(</w:t>
            </w:r>
            <w:r>
              <w:rPr>
                <w:rFonts w:hint="eastAsia" w:ascii="仿宋_GB2312" w:hAnsi="仿宋_GB2312" w:eastAsia="仿宋_GB2312" w:cs="仿宋_GB2312"/>
                <w:b/>
                <w:bCs/>
                <w:color w:val="auto"/>
                <w:sz w:val="28"/>
                <w:szCs w:val="28"/>
                <w:highlight w:val="none"/>
                <w:lang w:eastAsia="zh-CN"/>
              </w:rPr>
              <w:t>医疗保障服务能力建设部分）项目绩效自评表</w:t>
            </w:r>
          </w:p>
        </w:tc>
      </w:tr>
      <w:tr>
        <w:tblPrEx>
          <w:tblCellMar>
            <w:top w:w="0" w:type="dxa"/>
            <w:left w:w="108" w:type="dxa"/>
            <w:bottom w:w="0" w:type="dxa"/>
            <w:right w:w="108" w:type="dxa"/>
          </w:tblCellMar>
        </w:tblPrEx>
        <w:trPr>
          <w:trHeight w:val="464" w:hRule="atLeast"/>
        </w:trPr>
        <w:tc>
          <w:tcPr>
            <w:tcW w:w="5000" w:type="pct"/>
            <w:gridSpan w:val="8"/>
            <w:tcBorders>
              <w:top w:val="nil"/>
              <w:left w:val="nil"/>
              <w:bottom w:val="nil"/>
              <w:right w:val="nil"/>
            </w:tcBorders>
            <w:shd w:val="clear" w:color="auto" w:fill="auto"/>
            <w:noWrap/>
            <w:vAlign w:val="center"/>
          </w:tcPr>
          <w:p>
            <w:pPr>
              <w:ind w:firstLine="210" w:firstLineChars="100"/>
              <w:jc w:val="center"/>
              <w:textAlignment w:val="top"/>
              <w:rPr>
                <w:rFonts w:hint="eastAsia" w:ascii="仿宋_GB2312" w:hAnsi="仿宋_GB2312" w:eastAsia="仿宋_GB2312" w:cs="仿宋_GB2312"/>
                <w:color w:val="auto"/>
                <w:sz w:val="18"/>
                <w:szCs w:val="18"/>
                <w:highlight w:val="none"/>
              </w:rPr>
            </w:pPr>
            <w:r>
              <w:rPr>
                <w:rStyle w:val="42"/>
                <w:rFonts w:hint="eastAsia" w:ascii="仿宋_GB2312" w:hAnsi="仿宋_GB2312" w:eastAsia="仿宋_GB2312" w:cs="仿宋_GB2312"/>
                <w:color w:val="auto"/>
                <w:sz w:val="21"/>
                <w:szCs w:val="21"/>
                <w:highlight w:val="none"/>
                <w:lang w:eastAsia="zh-CN"/>
              </w:rPr>
              <w:t>(2024年度)</w:t>
            </w:r>
          </w:p>
        </w:tc>
      </w:tr>
      <w:tr>
        <w:tblPrEx>
          <w:tblCellMar>
            <w:top w:w="0" w:type="dxa"/>
            <w:left w:w="108" w:type="dxa"/>
            <w:bottom w:w="0" w:type="dxa"/>
            <w:right w:w="108" w:type="dxa"/>
          </w:tblCellMar>
        </w:tblPrEx>
        <w:trPr>
          <w:trHeight w:val="485" w:hRule="atLeast"/>
        </w:trPr>
        <w:tc>
          <w:tcPr>
            <w:tcW w:w="12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转移支付(项目)名称</w:t>
            </w:r>
          </w:p>
        </w:tc>
        <w:tc>
          <w:tcPr>
            <w:tcW w:w="373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医疗服务与保障能力提升补助资金(医疗保障服务能力建设部分）项目</w:t>
            </w:r>
          </w:p>
        </w:tc>
      </w:tr>
      <w:tr>
        <w:tblPrEx>
          <w:tblCellMar>
            <w:top w:w="0" w:type="dxa"/>
            <w:left w:w="108" w:type="dxa"/>
            <w:bottom w:w="0" w:type="dxa"/>
            <w:right w:w="108" w:type="dxa"/>
          </w:tblCellMar>
        </w:tblPrEx>
        <w:trPr>
          <w:trHeight w:val="280" w:hRule="atLeast"/>
        </w:trPr>
        <w:tc>
          <w:tcPr>
            <w:tcW w:w="12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中央主管部门</w:t>
            </w:r>
          </w:p>
        </w:tc>
        <w:tc>
          <w:tcPr>
            <w:tcW w:w="373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top"/>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国家医疗保障局</w:t>
            </w:r>
          </w:p>
        </w:tc>
      </w:tr>
      <w:tr>
        <w:tblPrEx>
          <w:tblCellMar>
            <w:top w:w="0" w:type="dxa"/>
            <w:left w:w="108" w:type="dxa"/>
            <w:bottom w:w="0" w:type="dxa"/>
            <w:right w:w="108" w:type="dxa"/>
          </w:tblCellMar>
        </w:tblPrEx>
        <w:trPr>
          <w:trHeight w:val="300" w:hRule="atLeast"/>
        </w:trPr>
        <w:tc>
          <w:tcPr>
            <w:tcW w:w="12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地方主管部门</w:t>
            </w:r>
          </w:p>
        </w:tc>
        <w:tc>
          <w:tcPr>
            <w:tcW w:w="13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top"/>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新疆维吾尔自治区财政厅</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资金使用单位</w:t>
            </w:r>
          </w:p>
        </w:tc>
        <w:tc>
          <w:tcPr>
            <w:tcW w:w="15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新疆维吾尔自治区医疗保障局</w:t>
            </w:r>
          </w:p>
        </w:tc>
      </w:tr>
      <w:tr>
        <w:tblPrEx>
          <w:tblCellMar>
            <w:top w:w="0" w:type="dxa"/>
            <w:left w:w="108" w:type="dxa"/>
            <w:bottom w:w="0" w:type="dxa"/>
            <w:right w:w="108" w:type="dxa"/>
          </w:tblCellMar>
        </w:tblPrEx>
        <w:trPr>
          <w:trHeight w:val="289" w:hRule="atLeast"/>
        </w:trPr>
        <w:tc>
          <w:tcPr>
            <w:tcW w:w="1262"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资金投入情况</w:t>
            </w:r>
            <w:r>
              <w:rPr>
                <w:rFonts w:hint="eastAsia" w:ascii="仿宋_GB2312" w:hAnsi="仿宋_GB2312" w:eastAsia="仿宋_GB2312" w:cs="仿宋_GB2312"/>
                <w:color w:val="auto"/>
                <w:sz w:val="20"/>
                <w:szCs w:val="20"/>
                <w:highlight w:val="none"/>
                <w:lang w:eastAsia="zh-CN"/>
              </w:rPr>
              <w:br w:type="textWrapping"/>
            </w:r>
            <w:r>
              <w:rPr>
                <w:rFonts w:hint="eastAsia" w:ascii="仿宋_GB2312" w:hAnsi="仿宋_GB2312" w:eastAsia="仿宋_GB2312" w:cs="仿宋_GB2312"/>
                <w:color w:val="auto"/>
                <w:sz w:val="20"/>
                <w:szCs w:val="20"/>
                <w:highlight w:val="none"/>
                <w:lang w:eastAsia="zh-CN"/>
              </w:rPr>
              <w:t>(万元)</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auto"/>
                <w:sz w:val="20"/>
                <w:szCs w:val="20"/>
                <w:highlight w:val="none"/>
              </w:rPr>
            </w:pP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全年预算数(A)</w:t>
            </w:r>
          </w:p>
        </w:tc>
        <w:tc>
          <w:tcPr>
            <w:tcW w:w="15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全年执行数(B)</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top"/>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预算执行率</w:t>
            </w:r>
            <w:r>
              <w:rPr>
                <w:rFonts w:hint="eastAsia" w:ascii="仿宋_GB2312" w:hAnsi="仿宋_GB2312" w:eastAsia="仿宋_GB2312" w:cs="仿宋_GB2312"/>
                <w:color w:val="auto"/>
                <w:sz w:val="20"/>
                <w:szCs w:val="20"/>
                <w:highlight w:val="none"/>
                <w:lang w:eastAsia="zh-CN"/>
              </w:rPr>
              <w:br w:type="textWrapping"/>
            </w:r>
            <w:r>
              <w:rPr>
                <w:rFonts w:hint="eastAsia" w:ascii="仿宋_GB2312" w:hAnsi="仿宋_GB2312" w:eastAsia="仿宋_GB2312" w:cs="仿宋_GB2312"/>
                <w:color w:val="auto"/>
                <w:sz w:val="20"/>
                <w:szCs w:val="20"/>
                <w:highlight w:val="none"/>
                <w:lang w:eastAsia="zh-CN"/>
              </w:rPr>
              <w:t>(B/A×100%)</w:t>
            </w:r>
          </w:p>
        </w:tc>
      </w:tr>
      <w:tr>
        <w:tblPrEx>
          <w:tblCellMar>
            <w:top w:w="0" w:type="dxa"/>
            <w:left w:w="108" w:type="dxa"/>
            <w:bottom w:w="0" w:type="dxa"/>
            <w:right w:w="108" w:type="dxa"/>
          </w:tblCellMar>
        </w:tblPrEx>
        <w:trPr>
          <w:trHeight w:val="289" w:hRule="atLeast"/>
        </w:trPr>
        <w:tc>
          <w:tcPr>
            <w:tcW w:w="126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auto"/>
                <w:sz w:val="20"/>
                <w:szCs w:val="20"/>
                <w:highlight w:val="none"/>
              </w:rPr>
            </w:pP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年度资金总额：</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top"/>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16908.44</w:t>
            </w:r>
          </w:p>
        </w:tc>
        <w:tc>
          <w:tcPr>
            <w:tcW w:w="15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top"/>
              <w:rPr>
                <w:rFonts w:hint="default" w:ascii="仿宋_GB2312" w:hAnsi="仿宋_GB2312" w:eastAsia="仿宋_GB2312" w:cs="仿宋_GB2312"/>
                <w:color w:val="auto"/>
                <w:sz w:val="20"/>
                <w:szCs w:val="20"/>
                <w:highlight w:val="none"/>
                <w:lang w:val="en-US"/>
              </w:rPr>
            </w:pPr>
            <w:r>
              <w:rPr>
                <w:rFonts w:hint="eastAsia" w:ascii="仿宋_GB2312" w:hAnsi="仿宋_GB2312" w:eastAsia="仿宋_GB2312" w:cs="仿宋_GB2312"/>
                <w:color w:val="auto"/>
                <w:sz w:val="20"/>
                <w:szCs w:val="20"/>
                <w:highlight w:val="none"/>
                <w:lang w:eastAsia="zh-CN"/>
              </w:rPr>
              <w:t>15150.6</w:t>
            </w:r>
            <w:r>
              <w:rPr>
                <w:rFonts w:hint="eastAsia" w:ascii="仿宋_GB2312" w:hAnsi="仿宋_GB2312" w:eastAsia="仿宋_GB2312" w:cs="仿宋_GB2312"/>
                <w:color w:val="auto"/>
                <w:sz w:val="20"/>
                <w:szCs w:val="20"/>
                <w:highlight w:val="none"/>
                <w:lang w:val="en-US" w:eastAsia="zh-CN"/>
              </w:rPr>
              <w:t>5</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top"/>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89.60%</w:t>
            </w:r>
          </w:p>
        </w:tc>
      </w:tr>
      <w:tr>
        <w:tblPrEx>
          <w:tblCellMar>
            <w:top w:w="0" w:type="dxa"/>
            <w:left w:w="108" w:type="dxa"/>
            <w:bottom w:w="0" w:type="dxa"/>
            <w:right w:w="108" w:type="dxa"/>
          </w:tblCellMar>
        </w:tblPrEx>
        <w:trPr>
          <w:trHeight w:val="289" w:hRule="atLeast"/>
        </w:trPr>
        <w:tc>
          <w:tcPr>
            <w:tcW w:w="126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auto"/>
                <w:sz w:val="20"/>
                <w:szCs w:val="20"/>
                <w:highlight w:val="none"/>
              </w:rPr>
            </w:pP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其中：中央财政资金</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top"/>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10500</w:t>
            </w:r>
          </w:p>
        </w:tc>
        <w:tc>
          <w:tcPr>
            <w:tcW w:w="15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top"/>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9207.59</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top"/>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87.69%</w:t>
            </w:r>
          </w:p>
        </w:tc>
      </w:tr>
      <w:tr>
        <w:tblPrEx>
          <w:tblCellMar>
            <w:top w:w="0" w:type="dxa"/>
            <w:left w:w="108" w:type="dxa"/>
            <w:bottom w:w="0" w:type="dxa"/>
            <w:right w:w="108" w:type="dxa"/>
          </w:tblCellMar>
        </w:tblPrEx>
        <w:trPr>
          <w:trHeight w:val="289" w:hRule="atLeast"/>
        </w:trPr>
        <w:tc>
          <w:tcPr>
            <w:tcW w:w="126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auto"/>
                <w:sz w:val="20"/>
                <w:szCs w:val="20"/>
                <w:highlight w:val="none"/>
              </w:rPr>
            </w:pP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地方财政资金</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top"/>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0</w:t>
            </w:r>
          </w:p>
        </w:tc>
        <w:tc>
          <w:tcPr>
            <w:tcW w:w="15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top"/>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0</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top"/>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0%</w:t>
            </w:r>
          </w:p>
        </w:tc>
      </w:tr>
      <w:tr>
        <w:tblPrEx>
          <w:tblCellMar>
            <w:top w:w="0" w:type="dxa"/>
            <w:left w:w="108" w:type="dxa"/>
            <w:bottom w:w="0" w:type="dxa"/>
            <w:right w:w="108" w:type="dxa"/>
          </w:tblCellMar>
        </w:tblPrEx>
        <w:trPr>
          <w:trHeight w:val="540" w:hRule="atLeast"/>
        </w:trPr>
        <w:tc>
          <w:tcPr>
            <w:tcW w:w="126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auto"/>
                <w:sz w:val="20"/>
                <w:szCs w:val="20"/>
                <w:highlight w:val="none"/>
              </w:rPr>
            </w:pP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其他资金</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top"/>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6408.44</w:t>
            </w:r>
          </w:p>
        </w:tc>
        <w:tc>
          <w:tcPr>
            <w:tcW w:w="15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top"/>
              <w:rPr>
                <w:rFonts w:hint="default" w:ascii="仿宋_GB2312" w:hAnsi="仿宋_GB2312" w:eastAsia="仿宋_GB2312" w:cs="仿宋_GB2312"/>
                <w:color w:val="auto"/>
                <w:sz w:val="20"/>
                <w:szCs w:val="20"/>
                <w:highlight w:val="none"/>
                <w:lang w:val="en-US"/>
              </w:rPr>
            </w:pPr>
            <w:r>
              <w:rPr>
                <w:rFonts w:hint="eastAsia" w:ascii="仿宋_GB2312" w:hAnsi="仿宋_GB2312" w:eastAsia="仿宋_GB2312" w:cs="仿宋_GB2312"/>
                <w:color w:val="auto"/>
                <w:sz w:val="20"/>
                <w:szCs w:val="20"/>
                <w:highlight w:val="none"/>
                <w:lang w:eastAsia="zh-CN"/>
              </w:rPr>
              <w:t>5943.0</w:t>
            </w:r>
            <w:r>
              <w:rPr>
                <w:rFonts w:hint="eastAsia" w:ascii="仿宋_GB2312" w:hAnsi="仿宋_GB2312" w:eastAsia="仿宋_GB2312" w:cs="仿宋_GB2312"/>
                <w:color w:val="auto"/>
                <w:sz w:val="20"/>
                <w:szCs w:val="20"/>
                <w:highlight w:val="none"/>
                <w:lang w:val="en-US" w:eastAsia="zh-CN"/>
              </w:rPr>
              <w:t>6</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top"/>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92.74%</w:t>
            </w:r>
          </w:p>
        </w:tc>
      </w:tr>
      <w:tr>
        <w:tblPrEx>
          <w:tblCellMar>
            <w:top w:w="0" w:type="dxa"/>
            <w:left w:w="108" w:type="dxa"/>
            <w:bottom w:w="0" w:type="dxa"/>
            <w:right w:w="108" w:type="dxa"/>
          </w:tblCellMar>
        </w:tblPrEx>
        <w:trPr>
          <w:trHeight w:val="290" w:hRule="atLeast"/>
        </w:trPr>
        <w:tc>
          <w:tcPr>
            <w:tcW w:w="1262"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资金管理情况</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auto"/>
                <w:sz w:val="20"/>
                <w:szCs w:val="20"/>
                <w:highlight w:val="none"/>
              </w:rPr>
            </w:pPr>
          </w:p>
        </w:tc>
        <w:tc>
          <w:tcPr>
            <w:tcW w:w="21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情况说明</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存在问题和改进措施</w:t>
            </w:r>
          </w:p>
        </w:tc>
      </w:tr>
      <w:tr>
        <w:tblPrEx>
          <w:tblCellMar>
            <w:top w:w="0" w:type="dxa"/>
            <w:left w:w="108" w:type="dxa"/>
            <w:bottom w:w="0" w:type="dxa"/>
            <w:right w:w="108" w:type="dxa"/>
          </w:tblCellMar>
        </w:tblPrEx>
        <w:trPr>
          <w:trHeight w:val="560" w:hRule="atLeast"/>
        </w:trPr>
        <w:tc>
          <w:tcPr>
            <w:tcW w:w="126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auto"/>
                <w:sz w:val="20"/>
                <w:szCs w:val="20"/>
                <w:highlight w:val="none"/>
              </w:rPr>
            </w:pP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分配科学性</w:t>
            </w:r>
          </w:p>
        </w:tc>
        <w:tc>
          <w:tcPr>
            <w:tcW w:w="21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top"/>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严格按照转移支付管理制度以及资金管理办法规定的范围和标准分配资金，资金分配科学。</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top"/>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560" w:hRule="atLeast"/>
        </w:trPr>
        <w:tc>
          <w:tcPr>
            <w:tcW w:w="126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auto"/>
                <w:sz w:val="20"/>
                <w:szCs w:val="20"/>
                <w:highlight w:val="none"/>
              </w:rPr>
            </w:pP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下达及时性</w:t>
            </w:r>
          </w:p>
        </w:tc>
        <w:tc>
          <w:tcPr>
            <w:tcW w:w="21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top"/>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严格按照预算法及其实施条例、转移支付管理制度规定以及资金管理办法规定的时限要求分解下达，资金下达及时。</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top"/>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560" w:hRule="atLeast"/>
        </w:trPr>
        <w:tc>
          <w:tcPr>
            <w:tcW w:w="126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auto"/>
                <w:sz w:val="20"/>
                <w:szCs w:val="20"/>
                <w:highlight w:val="none"/>
              </w:rPr>
            </w:pP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拨付合规性</w:t>
            </w:r>
          </w:p>
        </w:tc>
        <w:tc>
          <w:tcPr>
            <w:tcW w:w="21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top"/>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严格按照国库集中支付制度有关规定支付资金，未出现违规将资金从国库转入财政专户或支付到预算单位实有资金账户等问题，资金拨付合规。</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top"/>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560" w:hRule="atLeast"/>
        </w:trPr>
        <w:tc>
          <w:tcPr>
            <w:tcW w:w="126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auto"/>
                <w:sz w:val="20"/>
                <w:szCs w:val="20"/>
                <w:highlight w:val="none"/>
              </w:rPr>
            </w:pP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使用规范性</w:t>
            </w:r>
          </w:p>
        </w:tc>
        <w:tc>
          <w:tcPr>
            <w:tcW w:w="21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top"/>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严格按照下达预算的科目和项目执行，未出现截留、挤占、挪用或擅自调整等问题，资金使用规范。</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top"/>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560" w:hRule="atLeast"/>
        </w:trPr>
        <w:tc>
          <w:tcPr>
            <w:tcW w:w="126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auto"/>
                <w:sz w:val="20"/>
                <w:szCs w:val="20"/>
                <w:highlight w:val="none"/>
              </w:rPr>
            </w:pP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执行准确性</w:t>
            </w:r>
          </w:p>
        </w:tc>
        <w:tc>
          <w:tcPr>
            <w:tcW w:w="21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top"/>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按照上级下达和本级预算安排的金额执行，不存在执行数偏离预算数较多的问题，资金执行准确。</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top"/>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560" w:hRule="atLeast"/>
        </w:trPr>
        <w:tc>
          <w:tcPr>
            <w:tcW w:w="126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auto"/>
                <w:sz w:val="20"/>
                <w:szCs w:val="20"/>
                <w:highlight w:val="none"/>
              </w:rPr>
            </w:pP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预算绩效管理情况</w:t>
            </w:r>
          </w:p>
        </w:tc>
        <w:tc>
          <w:tcPr>
            <w:tcW w:w="21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top"/>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在细化下达预算时同步下达绩效目标，将有关资金纳入本级预算或对下转移支付绩效管理，开展绩效监控和绩效评价。</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top"/>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560" w:hRule="atLeast"/>
        </w:trPr>
        <w:tc>
          <w:tcPr>
            <w:tcW w:w="126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auto"/>
                <w:sz w:val="20"/>
                <w:szCs w:val="20"/>
                <w:highlight w:val="none"/>
              </w:rPr>
            </w:pP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支出责任履行情况</w:t>
            </w:r>
          </w:p>
        </w:tc>
        <w:tc>
          <w:tcPr>
            <w:tcW w:w="21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top"/>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对共同财政事权转移支付，按照财政事权和支出责任划分有关规定，足额安排资金履行本级支出责任。</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top"/>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313" w:hRule="atLeast"/>
        </w:trPr>
        <w:tc>
          <w:tcPr>
            <w:tcW w:w="26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top"/>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总体</w:t>
            </w:r>
            <w:r>
              <w:rPr>
                <w:rFonts w:hint="eastAsia" w:ascii="仿宋_GB2312" w:hAnsi="仿宋_GB2312" w:eastAsia="仿宋_GB2312" w:cs="仿宋_GB2312"/>
                <w:color w:val="auto"/>
                <w:sz w:val="20"/>
                <w:szCs w:val="20"/>
                <w:highlight w:val="none"/>
                <w:lang w:eastAsia="zh-CN"/>
              </w:rPr>
              <w:br w:type="textWrapping"/>
            </w:r>
            <w:r>
              <w:rPr>
                <w:rFonts w:hint="eastAsia" w:ascii="仿宋_GB2312" w:hAnsi="仿宋_GB2312" w:eastAsia="仿宋_GB2312" w:cs="仿宋_GB2312"/>
                <w:color w:val="auto"/>
                <w:sz w:val="20"/>
                <w:szCs w:val="20"/>
                <w:highlight w:val="none"/>
                <w:lang w:eastAsia="zh-CN"/>
              </w:rPr>
              <w:t>目 标</w:t>
            </w:r>
            <w:r>
              <w:rPr>
                <w:rFonts w:hint="eastAsia" w:ascii="仿宋_GB2312" w:hAnsi="仿宋_GB2312" w:eastAsia="仿宋_GB2312" w:cs="仿宋_GB2312"/>
                <w:color w:val="auto"/>
                <w:sz w:val="20"/>
                <w:szCs w:val="20"/>
                <w:highlight w:val="none"/>
                <w:lang w:eastAsia="zh-CN"/>
              </w:rPr>
              <w:br w:type="textWrapping"/>
            </w:r>
            <w:r>
              <w:rPr>
                <w:rFonts w:hint="eastAsia" w:ascii="仿宋_GB2312" w:hAnsi="仿宋_GB2312" w:eastAsia="仿宋_GB2312" w:cs="仿宋_GB2312"/>
                <w:color w:val="auto"/>
                <w:sz w:val="20"/>
                <w:szCs w:val="20"/>
                <w:highlight w:val="none"/>
                <w:lang w:eastAsia="zh-CN"/>
              </w:rPr>
              <w:t>完成</w:t>
            </w:r>
            <w:r>
              <w:rPr>
                <w:rFonts w:hint="eastAsia" w:ascii="仿宋_GB2312" w:hAnsi="仿宋_GB2312" w:eastAsia="仿宋_GB2312" w:cs="仿宋_GB2312"/>
                <w:color w:val="auto"/>
                <w:sz w:val="20"/>
                <w:szCs w:val="20"/>
                <w:highlight w:val="none"/>
                <w:lang w:eastAsia="zh-CN"/>
              </w:rPr>
              <w:br w:type="textWrapping"/>
            </w:r>
            <w:r>
              <w:rPr>
                <w:rFonts w:hint="eastAsia" w:ascii="仿宋_GB2312" w:hAnsi="仿宋_GB2312" w:eastAsia="仿宋_GB2312" w:cs="仿宋_GB2312"/>
                <w:color w:val="auto"/>
                <w:sz w:val="20"/>
                <w:szCs w:val="20"/>
                <w:highlight w:val="none"/>
                <w:lang w:eastAsia="zh-CN"/>
              </w:rPr>
              <w:t>情况</w:t>
            </w:r>
          </w:p>
        </w:tc>
        <w:tc>
          <w:tcPr>
            <w:tcW w:w="237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总体目标</w:t>
            </w:r>
          </w:p>
        </w:tc>
        <w:tc>
          <w:tcPr>
            <w:tcW w:w="23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全年实际完成情况</w:t>
            </w:r>
          </w:p>
        </w:tc>
      </w:tr>
      <w:tr>
        <w:tblPrEx>
          <w:tblCellMar>
            <w:top w:w="0" w:type="dxa"/>
            <w:left w:w="108" w:type="dxa"/>
            <w:bottom w:w="0" w:type="dxa"/>
            <w:right w:w="108" w:type="dxa"/>
          </w:tblCellMar>
        </w:tblPrEx>
        <w:trPr>
          <w:trHeight w:val="1860" w:hRule="atLeast"/>
        </w:trPr>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auto"/>
                <w:sz w:val="20"/>
                <w:szCs w:val="20"/>
                <w:highlight w:val="none"/>
              </w:rPr>
            </w:pPr>
          </w:p>
        </w:tc>
        <w:tc>
          <w:tcPr>
            <w:tcW w:w="237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有效提升医保信息化标准化、基金监管、经办管理、目录监管水平，推进医保支付方式、药品和医用耗材集中带量采购、医疗服务价格等改革任务。</w:t>
            </w:r>
          </w:p>
        </w:tc>
        <w:tc>
          <w:tcPr>
            <w:tcW w:w="23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00" w:firstLineChars="200"/>
              <w:jc w:val="both"/>
              <w:textAlignment w:val="top"/>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一是新疆实现跨省异地就医直接结算服务全面覆盖，全疆15个统筹地区均已接入直接结算网络，极大方便参保群众在异地就医直接结算。2024年，新疆参保人员跨省住院和门诊直接结算259.34万人次。</w:t>
            </w:r>
          </w:p>
          <w:p>
            <w:pPr>
              <w:ind w:firstLine="400" w:firstLineChars="200"/>
              <w:jc w:val="both"/>
              <w:textAlignment w:val="top"/>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二是落实国家组织飞检任务，常态化开展疆内飞行检查，推动实施智能审核，开展医保大数据筛查分析，形成以大数据监管为依托的医保基金监管格局。</w:t>
            </w:r>
          </w:p>
          <w:p>
            <w:pPr>
              <w:ind w:firstLine="400" w:firstLineChars="200"/>
              <w:jc w:val="both"/>
              <w:textAlignment w:val="top"/>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三是全面推进DRG/DIP支付方式改革，提升基金价值效能，全区15个统筹地区，DRG付费13个，DIP付费2个。2023年提前一年实现统筹地区全覆盖。</w:t>
            </w:r>
          </w:p>
          <w:p>
            <w:pPr>
              <w:ind w:firstLine="400" w:firstLineChars="200"/>
              <w:jc w:val="both"/>
              <w:textAlignment w:val="top"/>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 xml:space="preserve">四是招采制度改革成效显著，推动集中带量采购品种提质扩面，着力构建多层次采购体系、多元化采购模式，实现药品耗材集中采购全覆盖，促进药品耗材线上采购、阳光透明。 </w:t>
            </w:r>
          </w:p>
          <w:p>
            <w:pPr>
              <w:ind w:firstLine="400" w:firstLineChars="200"/>
              <w:jc w:val="both"/>
              <w:textAlignment w:val="top"/>
              <w:rPr>
                <w:rFonts w:hint="eastAsia"/>
                <w:color w:val="auto"/>
                <w:highlight w:val="none"/>
                <w:lang w:eastAsia="zh-CN"/>
              </w:rPr>
            </w:pPr>
            <w:r>
              <w:rPr>
                <w:rFonts w:hint="eastAsia" w:ascii="仿宋_GB2312" w:hAnsi="仿宋_GB2312" w:eastAsia="仿宋_GB2312" w:cs="仿宋_GB2312"/>
                <w:color w:val="auto"/>
                <w:sz w:val="20"/>
                <w:szCs w:val="20"/>
                <w:highlight w:val="none"/>
                <w:lang w:eastAsia="zh-CN"/>
              </w:rPr>
              <w:t>五是经办服务能力实现跨越式发展，经办服务标准化建设全面完成，全程网办率85.7%，群众获得感显著增强。</w:t>
            </w:r>
          </w:p>
        </w:tc>
      </w:tr>
      <w:tr>
        <w:tblPrEx>
          <w:tblCellMar>
            <w:top w:w="0" w:type="dxa"/>
            <w:left w:w="108" w:type="dxa"/>
            <w:bottom w:w="0" w:type="dxa"/>
            <w:right w:w="108" w:type="dxa"/>
          </w:tblCellMar>
        </w:tblPrEx>
        <w:trPr>
          <w:trHeight w:val="560" w:hRule="atLeast"/>
        </w:trPr>
        <w:tc>
          <w:tcPr>
            <w:tcW w:w="266" w:type="pct"/>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绩效指标</w:t>
            </w:r>
          </w:p>
        </w:tc>
        <w:tc>
          <w:tcPr>
            <w:tcW w:w="26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一级</w:t>
            </w:r>
            <w:r>
              <w:rPr>
                <w:rFonts w:hint="eastAsia" w:ascii="仿宋_GB2312" w:hAnsi="仿宋_GB2312" w:eastAsia="仿宋_GB2312" w:cs="仿宋_GB2312"/>
                <w:color w:val="auto"/>
                <w:sz w:val="20"/>
                <w:szCs w:val="20"/>
                <w:highlight w:val="none"/>
                <w:lang w:eastAsia="zh-CN"/>
              </w:rPr>
              <w:br w:type="textWrapping"/>
            </w:r>
            <w:r>
              <w:rPr>
                <w:rFonts w:hint="eastAsia" w:ascii="仿宋_GB2312" w:hAnsi="仿宋_GB2312" w:eastAsia="仿宋_GB2312" w:cs="仿宋_GB2312"/>
                <w:color w:val="auto"/>
                <w:sz w:val="20"/>
                <w:szCs w:val="20"/>
                <w:highlight w:val="none"/>
                <w:lang w:eastAsia="zh-CN"/>
              </w:rPr>
              <w:t>指标</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二级指标</w:t>
            </w:r>
          </w:p>
        </w:tc>
        <w:tc>
          <w:tcPr>
            <w:tcW w:w="13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三级指标</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200" w:firstLineChars="100"/>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指标值</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top"/>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全年实际完</w:t>
            </w:r>
            <w:r>
              <w:rPr>
                <w:rFonts w:hint="eastAsia" w:ascii="仿宋_GB2312" w:hAnsi="仿宋_GB2312" w:eastAsia="仿宋_GB2312" w:cs="仿宋_GB2312"/>
                <w:color w:val="auto"/>
                <w:sz w:val="20"/>
                <w:szCs w:val="20"/>
                <w:highlight w:val="none"/>
                <w:lang w:eastAsia="zh-CN"/>
              </w:rPr>
              <w:br w:type="textWrapping"/>
            </w:r>
            <w:r>
              <w:rPr>
                <w:rFonts w:hint="eastAsia" w:ascii="仿宋_GB2312" w:hAnsi="仿宋_GB2312" w:eastAsia="仿宋_GB2312" w:cs="仿宋_GB2312"/>
                <w:color w:val="auto"/>
                <w:sz w:val="20"/>
                <w:szCs w:val="20"/>
                <w:highlight w:val="none"/>
                <w:lang w:eastAsia="zh-CN"/>
              </w:rPr>
              <w:t>成值</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未完成原因和改进措施</w:t>
            </w:r>
          </w:p>
        </w:tc>
      </w:tr>
      <w:tr>
        <w:tblPrEx>
          <w:tblCellMar>
            <w:top w:w="0" w:type="dxa"/>
            <w:left w:w="108" w:type="dxa"/>
            <w:bottom w:w="0" w:type="dxa"/>
            <w:right w:w="108" w:type="dxa"/>
          </w:tblCellMar>
        </w:tblPrEx>
        <w:trPr>
          <w:trHeight w:val="600" w:hRule="atLeast"/>
        </w:trPr>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lang w:eastAsia="zh-CN"/>
              </w:rPr>
            </w:pPr>
          </w:p>
        </w:tc>
        <w:tc>
          <w:tcPr>
            <w:tcW w:w="266" w:type="pct"/>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产出指标</w:t>
            </w:r>
          </w:p>
        </w:tc>
        <w:tc>
          <w:tcPr>
            <w:tcW w:w="7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数量指标</w:t>
            </w:r>
          </w:p>
        </w:tc>
        <w:tc>
          <w:tcPr>
            <w:tcW w:w="13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基本医保参保人数</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≥2084万人</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2088.09万人</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600" w:hRule="atLeast"/>
        </w:trPr>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7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auto"/>
                <w:sz w:val="20"/>
                <w:szCs w:val="20"/>
                <w:highlight w:val="none"/>
              </w:rPr>
            </w:pPr>
          </w:p>
        </w:tc>
        <w:tc>
          <w:tcPr>
            <w:tcW w:w="13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每个县(区)范围内开通门诊慢特病相关治疗费用跨省联网定点医疗机构数量</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600" w:hRule="atLeast"/>
        </w:trPr>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7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auto"/>
                <w:sz w:val="20"/>
                <w:szCs w:val="20"/>
                <w:highlight w:val="none"/>
              </w:rPr>
            </w:pPr>
          </w:p>
        </w:tc>
        <w:tc>
          <w:tcPr>
            <w:tcW w:w="13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短缺药品异常高价和异常配送核查处置情况</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处置率达100%</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600" w:hRule="atLeast"/>
        </w:trPr>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7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auto"/>
                <w:sz w:val="20"/>
                <w:szCs w:val="20"/>
                <w:highlight w:val="none"/>
              </w:rPr>
            </w:pPr>
          </w:p>
        </w:tc>
        <w:tc>
          <w:tcPr>
            <w:tcW w:w="13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每年开展药品挂网价格联动次数</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600" w:hRule="atLeast"/>
        </w:trPr>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7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质量指标</w:t>
            </w:r>
          </w:p>
        </w:tc>
        <w:tc>
          <w:tcPr>
            <w:tcW w:w="13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重复参保治理情况</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依托医保信息平台实施参保信息强制校验</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600" w:hRule="atLeast"/>
        </w:trPr>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7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auto"/>
                <w:sz w:val="20"/>
                <w:szCs w:val="20"/>
                <w:highlight w:val="none"/>
              </w:rPr>
            </w:pPr>
          </w:p>
        </w:tc>
        <w:tc>
          <w:tcPr>
            <w:tcW w:w="13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医保基金综合监管能力</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有所提升</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600" w:hRule="atLeast"/>
        </w:trPr>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7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auto"/>
                <w:sz w:val="20"/>
                <w:szCs w:val="20"/>
                <w:highlight w:val="none"/>
              </w:rPr>
            </w:pPr>
          </w:p>
        </w:tc>
        <w:tc>
          <w:tcPr>
            <w:tcW w:w="13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基金预警和风险防控能力</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有所提高</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600" w:hRule="atLeast"/>
        </w:trPr>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7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auto"/>
                <w:sz w:val="20"/>
                <w:szCs w:val="20"/>
                <w:highlight w:val="none"/>
              </w:rPr>
            </w:pPr>
          </w:p>
        </w:tc>
        <w:tc>
          <w:tcPr>
            <w:tcW w:w="13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推进医保支付方式改革</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省级出台支付方式改革文件并落实到位</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600" w:hRule="atLeast"/>
        </w:trPr>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7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auto"/>
                <w:sz w:val="20"/>
                <w:szCs w:val="20"/>
                <w:highlight w:val="none"/>
              </w:rPr>
            </w:pPr>
          </w:p>
        </w:tc>
        <w:tc>
          <w:tcPr>
            <w:tcW w:w="13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医保经办服务能力</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有所提升</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600" w:hRule="atLeast"/>
        </w:trPr>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7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auto"/>
                <w:sz w:val="20"/>
                <w:szCs w:val="20"/>
                <w:highlight w:val="none"/>
              </w:rPr>
            </w:pPr>
          </w:p>
        </w:tc>
        <w:tc>
          <w:tcPr>
            <w:tcW w:w="13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医保标准化水平</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显著提升</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600" w:hRule="atLeast"/>
        </w:trPr>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7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auto"/>
                <w:sz w:val="20"/>
                <w:szCs w:val="20"/>
                <w:highlight w:val="none"/>
              </w:rPr>
            </w:pPr>
          </w:p>
        </w:tc>
        <w:tc>
          <w:tcPr>
            <w:tcW w:w="13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开展村(社区)级医保服务、有网点提供帮办、代办服务的村(社区)覆盖率</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≥60%</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60%</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600" w:hRule="atLeast"/>
        </w:trPr>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7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auto"/>
                <w:sz w:val="20"/>
                <w:szCs w:val="20"/>
                <w:highlight w:val="none"/>
              </w:rPr>
            </w:pPr>
          </w:p>
        </w:tc>
        <w:tc>
          <w:tcPr>
            <w:tcW w:w="13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提升公立医疗机构平台采购药品耗材比例</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药品网采率≥85%，高值医用耗材网采率≥75%</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药品网采率85%，高值医用耗材网采率75%</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600" w:hRule="atLeast"/>
        </w:trPr>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7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auto"/>
                <w:sz w:val="20"/>
                <w:szCs w:val="20"/>
                <w:highlight w:val="none"/>
              </w:rPr>
            </w:pPr>
          </w:p>
        </w:tc>
        <w:tc>
          <w:tcPr>
            <w:tcW w:w="13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医保信息系统正常运行率</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≥90%</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100%</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600" w:hRule="atLeast"/>
        </w:trPr>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7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auto"/>
                <w:sz w:val="20"/>
                <w:szCs w:val="20"/>
                <w:highlight w:val="none"/>
              </w:rPr>
            </w:pPr>
          </w:p>
        </w:tc>
        <w:tc>
          <w:tcPr>
            <w:tcW w:w="13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国谈药等相关药品落地及统计监测情况</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国谈药品落地数据报送及时率100%</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1200" w:hRule="atLeast"/>
        </w:trPr>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7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auto"/>
                <w:sz w:val="20"/>
                <w:szCs w:val="20"/>
                <w:highlight w:val="none"/>
              </w:rPr>
            </w:pPr>
          </w:p>
        </w:tc>
        <w:tc>
          <w:tcPr>
            <w:tcW w:w="13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医疗服务价格动态调整与深化医疗服务价格改革试点执行情况</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按要求开展调价评估并进行调价，确保医疗服务价格管理与深化医疗服务价格改革方向一致</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600" w:hRule="atLeast"/>
        </w:trPr>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7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auto"/>
                <w:sz w:val="20"/>
                <w:szCs w:val="20"/>
                <w:highlight w:val="none"/>
              </w:rPr>
            </w:pPr>
          </w:p>
        </w:tc>
        <w:tc>
          <w:tcPr>
            <w:tcW w:w="13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集中带量采购落实情况</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完成国家组织集中采购中选产品约定采购量</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600" w:hRule="atLeast"/>
        </w:trPr>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7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auto"/>
                <w:sz w:val="20"/>
                <w:szCs w:val="20"/>
                <w:highlight w:val="none"/>
              </w:rPr>
            </w:pPr>
          </w:p>
        </w:tc>
        <w:tc>
          <w:tcPr>
            <w:tcW w:w="13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医药价格和招采信用评价制度建立和实施情况</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限定时限内反馈案源处理情况</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600" w:hRule="atLeast"/>
        </w:trPr>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7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color w:val="auto"/>
                <w:sz w:val="20"/>
                <w:szCs w:val="20"/>
                <w:highlight w:val="none"/>
              </w:rPr>
            </w:pPr>
          </w:p>
        </w:tc>
        <w:tc>
          <w:tcPr>
            <w:tcW w:w="13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招采子系统落地应用情况</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实现交易、采购等核心功能应用</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600" w:hRule="atLeast"/>
        </w:trPr>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728"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color w:val="auto"/>
                <w:sz w:val="20"/>
                <w:szCs w:val="20"/>
                <w:highlight w:val="none"/>
              </w:rPr>
            </w:pPr>
          </w:p>
        </w:tc>
        <w:tc>
          <w:tcPr>
            <w:tcW w:w="1379" w:type="pct"/>
            <w:gridSpan w:val="2"/>
            <w:tcBorders>
              <w:top w:val="single" w:color="000000" w:sz="4" w:space="0"/>
              <w:left w:val="single" w:color="000000" w:sz="4" w:space="0"/>
              <w:bottom w:val="single" w:color="auto" w:sz="4" w:space="0"/>
              <w:right w:val="single" w:color="000000" w:sz="4" w:space="0"/>
            </w:tcBorders>
            <w:shd w:val="clear" w:color="auto" w:fill="auto"/>
            <w:noWrap/>
            <w:vAlign w:val="center"/>
          </w:tcPr>
          <w:p>
            <w:pPr>
              <w:jc w:val="both"/>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医保目录管理规范性情况</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年内未出现违反目录管理政策情况</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600" w:hRule="atLeast"/>
        </w:trPr>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266" w:type="pct"/>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728" w:type="pct"/>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时效指标</w:t>
            </w:r>
          </w:p>
        </w:tc>
        <w:tc>
          <w:tcPr>
            <w:tcW w:w="1379" w:type="pct"/>
            <w:gridSpan w:val="2"/>
            <w:tcBorders>
              <w:top w:val="single" w:color="auto" w:sz="4" w:space="0"/>
              <w:left w:val="single" w:color="000000" w:sz="4" w:space="0"/>
              <w:bottom w:val="single" w:color="000000" w:sz="4" w:space="0"/>
              <w:right w:val="single" w:color="auto" w:sz="4" w:space="0"/>
            </w:tcBorders>
            <w:shd w:val="clear" w:color="auto" w:fill="auto"/>
            <w:vAlign w:val="center"/>
          </w:tcPr>
          <w:p>
            <w:pPr>
              <w:jc w:val="both"/>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医保信息系统重大安全事件响应时间</w:t>
            </w:r>
          </w:p>
        </w:tc>
        <w:tc>
          <w:tcPr>
            <w:tcW w:w="786" w:type="pct"/>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&lt;=60分钟</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60分钟</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600" w:hRule="atLeast"/>
        </w:trPr>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266" w:type="pct"/>
            <w:vMerge w:val="continue"/>
            <w:tcBorders>
              <w:top w:val="single" w:color="000000" w:sz="4" w:space="0"/>
              <w:left w:val="single" w:color="000000" w:sz="4" w:space="0"/>
              <w:bottom w:val="single" w:color="000000" w:sz="4" w:space="0"/>
              <w:right w:val="single" w:color="auto"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728" w:type="pct"/>
            <w:vMerge w:val="continue"/>
            <w:tcBorders>
              <w:top w:val="nil"/>
              <w:left w:val="single" w:color="auto"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color w:val="auto"/>
                <w:sz w:val="20"/>
                <w:szCs w:val="20"/>
                <w:highlight w:val="none"/>
              </w:rPr>
            </w:pPr>
          </w:p>
        </w:tc>
        <w:tc>
          <w:tcPr>
            <w:tcW w:w="1379" w:type="pct"/>
            <w:gridSpan w:val="2"/>
            <w:tcBorders>
              <w:top w:val="single" w:color="000000" w:sz="4" w:space="0"/>
              <w:left w:val="single" w:color="000000" w:sz="4" w:space="0"/>
              <w:bottom w:val="single" w:color="auto" w:sz="4" w:space="0"/>
              <w:right w:val="single" w:color="auto" w:sz="4" w:space="0"/>
            </w:tcBorders>
            <w:shd w:val="clear" w:color="auto" w:fill="auto"/>
            <w:vAlign w:val="center"/>
          </w:tcPr>
          <w:p>
            <w:pPr>
              <w:jc w:val="both"/>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医保信息系统运行维护响应时间</w:t>
            </w:r>
          </w:p>
        </w:tc>
        <w:tc>
          <w:tcPr>
            <w:tcW w:w="786" w:type="pct"/>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&lt;=30分钟</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30分钟</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600" w:hRule="atLeast"/>
        </w:trPr>
        <w:tc>
          <w:tcPr>
            <w:tcW w:w="266"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仿宋_GB2312" w:hAnsi="仿宋_GB2312" w:eastAsia="仿宋_GB2312" w:cs="仿宋_GB2312"/>
                <w:color w:val="auto"/>
                <w:sz w:val="20"/>
                <w:szCs w:val="20"/>
                <w:highlight w:val="none"/>
              </w:rPr>
            </w:pPr>
          </w:p>
        </w:tc>
        <w:tc>
          <w:tcPr>
            <w:tcW w:w="26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满意</w:t>
            </w:r>
            <w:r>
              <w:rPr>
                <w:rFonts w:hint="eastAsia" w:ascii="仿宋_GB2312" w:hAnsi="仿宋_GB2312" w:eastAsia="仿宋_GB2312" w:cs="仿宋_GB2312"/>
                <w:color w:val="auto"/>
                <w:sz w:val="20"/>
                <w:szCs w:val="20"/>
                <w:highlight w:val="none"/>
                <w:lang w:eastAsia="zh-CN"/>
              </w:rPr>
              <w:br w:type="textWrapping"/>
            </w:r>
            <w:r>
              <w:rPr>
                <w:rFonts w:hint="eastAsia" w:ascii="仿宋_GB2312" w:hAnsi="仿宋_GB2312" w:eastAsia="仿宋_GB2312" w:cs="仿宋_GB2312"/>
                <w:color w:val="auto"/>
                <w:sz w:val="20"/>
                <w:szCs w:val="20"/>
                <w:highlight w:val="none"/>
                <w:lang w:eastAsia="zh-CN"/>
              </w:rPr>
              <w:t>度指</w:t>
            </w:r>
            <w:r>
              <w:rPr>
                <w:rFonts w:hint="eastAsia" w:ascii="仿宋_GB2312" w:hAnsi="仿宋_GB2312" w:eastAsia="仿宋_GB2312" w:cs="仿宋_GB2312"/>
                <w:color w:val="auto"/>
                <w:sz w:val="20"/>
                <w:szCs w:val="20"/>
                <w:highlight w:val="none"/>
                <w:lang w:eastAsia="zh-CN"/>
              </w:rPr>
              <w:br w:type="textWrapping"/>
            </w:r>
            <w:r>
              <w:rPr>
                <w:rFonts w:hint="eastAsia" w:ascii="仿宋_GB2312" w:hAnsi="仿宋_GB2312" w:eastAsia="仿宋_GB2312" w:cs="仿宋_GB2312"/>
                <w:color w:val="auto"/>
                <w:sz w:val="20"/>
                <w:szCs w:val="20"/>
                <w:highlight w:val="none"/>
                <w:lang w:eastAsia="zh-CN"/>
              </w:rPr>
              <w:t>标</w:t>
            </w:r>
          </w:p>
        </w:tc>
        <w:tc>
          <w:tcPr>
            <w:tcW w:w="728" w:type="pct"/>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服务对象满意度指标</w:t>
            </w:r>
          </w:p>
        </w:tc>
        <w:tc>
          <w:tcPr>
            <w:tcW w:w="1379"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jc w:val="both"/>
              <w:textAlignment w:val="center"/>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参保人员对医保服务的满意度</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≥85%</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99.99%</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r>
        <w:tblPrEx>
          <w:tblCellMar>
            <w:top w:w="0" w:type="dxa"/>
            <w:left w:w="108" w:type="dxa"/>
            <w:bottom w:w="0" w:type="dxa"/>
            <w:right w:w="108" w:type="dxa"/>
          </w:tblCellMar>
        </w:tblPrEx>
        <w:trPr>
          <w:trHeight w:val="560" w:hRule="atLeast"/>
        </w:trPr>
        <w:tc>
          <w:tcPr>
            <w:tcW w:w="26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说明</w:t>
            </w:r>
          </w:p>
        </w:tc>
        <w:tc>
          <w:tcPr>
            <w:tcW w:w="473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textAlignment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无</w:t>
            </w:r>
          </w:p>
        </w:tc>
      </w:tr>
    </w:tbl>
    <w:p>
      <w:pPr>
        <w:pStyle w:val="38"/>
        <w:jc w:val="both"/>
        <w:rPr>
          <w:color w:val="auto"/>
          <w:highlight w:val="none"/>
        </w:rPr>
      </w:pPr>
    </w:p>
    <w:p>
      <w:pPr>
        <w:jc w:val="both"/>
        <w:rPr>
          <w:color w:val="auto"/>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宋体" w:hAnsi="宋体" w:eastAsia="宋体"/>
          <w:color w:val="auto"/>
          <w:sz w:val="24"/>
          <w:szCs w:val="24"/>
          <w:highlight w:val="none"/>
        </w:rPr>
      </w:pPr>
    </w:p>
    <w:p>
      <w:pPr>
        <w:pStyle w:val="12"/>
        <w:rPr>
          <w:rFonts w:hint="default" w:ascii="Times New Roman" w:hAnsi="Times New Roman" w:cs="Times New Roman"/>
          <w:color w:val="auto"/>
          <w:sz w:val="21"/>
          <w:szCs w:val="21"/>
          <w:highlight w:val="none"/>
        </w:rPr>
      </w:pPr>
    </w:p>
    <w:sectPr>
      <w:footerReference r:id="rId5" w:type="default"/>
      <w:pgSz w:w="11906" w:h="16838"/>
      <w:pgMar w:top="2098" w:right="1587" w:bottom="1984" w:left="1587" w:header="851" w:footer="992" w:gutter="0"/>
      <w:pgNumType w:fmt="numberInDash"/>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A1"/>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Cambria Math">
    <w:altName w:val="DejaVu Math TeX Gyre"/>
    <w:panose1 w:val="02040503050406030204"/>
    <w:charset w:val="00"/>
    <w:family w:val="auto"/>
    <w:pitch w:val="default"/>
    <w:sig w:usb0="00000000" w:usb1="00000000" w:usb2="02000000" w:usb3="00000000" w:csb0="2000019F" w:csb1="00000000"/>
  </w:font>
  <w:font w:name="宋体-简">
    <w:altName w:val="方正书宋_GBK"/>
    <w:panose1 w:val="0201080004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等线">
    <w:altName w:val="汉仪仿宋S"/>
    <w:panose1 w:val="00000000000000000000"/>
    <w:charset w:val="00"/>
    <w:family w:val="auto"/>
    <w:pitch w:val="default"/>
    <w:sig w:usb0="00000000" w:usb1="00000000" w:usb2="00000000" w:usb3="00000000" w:csb0="00000000" w:csb1="00000000"/>
  </w:font>
  <w:font w:name="汉仪仿宋S">
    <w:panose1 w:val="00020600040101000101"/>
    <w:charset w:val="86"/>
    <w:family w:val="auto"/>
    <w:pitch w:val="default"/>
    <w:sig w:usb0="A00002BF" w:usb1="38CF7CFA" w:usb2="00000016" w:usb3="00000000" w:csb0="0004009F"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left" w:pos="6500"/>
        <w:tab w:val="clear" w:pos="4153"/>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71" name="文本框 77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88liohwCAAAtBAAADgAAAAAAAAABACAAAAA1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r>
      <w:rPr>
        <w:rFonts w:hint="eastAsia"/>
        <w:lang w:eastAsia="zh-C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4829C9"/>
    <w:multiLevelType w:val="singleLevel"/>
    <w:tmpl w:val="9B4829C9"/>
    <w:lvl w:ilvl="0" w:tentative="0">
      <w:start w:val="1"/>
      <w:numFmt w:val="chineseCounting"/>
      <w:suff w:val="nothing"/>
      <w:lvlText w:val="（%1）"/>
      <w:lvlJc w:val="left"/>
      <w:rPr>
        <w:rFonts w:hint="eastAsia"/>
      </w:rPr>
    </w:lvl>
  </w:abstractNum>
  <w:abstractNum w:abstractNumId="1">
    <w:nsid w:val="A9444475"/>
    <w:multiLevelType w:val="singleLevel"/>
    <w:tmpl w:val="A9444475"/>
    <w:lvl w:ilvl="0" w:tentative="0">
      <w:start w:val="1"/>
      <w:numFmt w:val="decimal"/>
      <w:lvlText w:val="%1."/>
      <w:lvlJc w:val="left"/>
      <w:pPr>
        <w:tabs>
          <w:tab w:val="left" w:pos="312"/>
        </w:tabs>
      </w:pPr>
    </w:lvl>
  </w:abstractNum>
  <w:abstractNum w:abstractNumId="2">
    <w:nsid w:val="7D8DAC73"/>
    <w:multiLevelType w:val="singleLevel"/>
    <w:tmpl w:val="7D8DAC73"/>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ViY2JkMjU3NGYzZTEwMzZmMGFkZWViYmNkYWU3NDIifQ=="/>
  </w:docVars>
  <w:rsids>
    <w:rsidRoot w:val="00D55800"/>
    <w:rsid w:val="00075B50"/>
    <w:rsid w:val="00176C83"/>
    <w:rsid w:val="00220784"/>
    <w:rsid w:val="00232961"/>
    <w:rsid w:val="002961D2"/>
    <w:rsid w:val="003D4B38"/>
    <w:rsid w:val="00500937"/>
    <w:rsid w:val="00597BEC"/>
    <w:rsid w:val="005D69FE"/>
    <w:rsid w:val="006700BF"/>
    <w:rsid w:val="00677C98"/>
    <w:rsid w:val="00700496"/>
    <w:rsid w:val="007A5FC6"/>
    <w:rsid w:val="008024AA"/>
    <w:rsid w:val="00841245"/>
    <w:rsid w:val="00893176"/>
    <w:rsid w:val="008E1A89"/>
    <w:rsid w:val="00906204"/>
    <w:rsid w:val="009C5871"/>
    <w:rsid w:val="00AB41F7"/>
    <w:rsid w:val="00B1743E"/>
    <w:rsid w:val="00BB18C1"/>
    <w:rsid w:val="00C13271"/>
    <w:rsid w:val="00C20279"/>
    <w:rsid w:val="00D04BC9"/>
    <w:rsid w:val="00D260DA"/>
    <w:rsid w:val="00D55800"/>
    <w:rsid w:val="00D9033C"/>
    <w:rsid w:val="00DF2AF6"/>
    <w:rsid w:val="00E27879"/>
    <w:rsid w:val="00E345C8"/>
    <w:rsid w:val="00E7664D"/>
    <w:rsid w:val="00EE5D96"/>
    <w:rsid w:val="010F2FA5"/>
    <w:rsid w:val="012F3BE7"/>
    <w:rsid w:val="013F0C73"/>
    <w:rsid w:val="01430E08"/>
    <w:rsid w:val="01716545"/>
    <w:rsid w:val="019C05D1"/>
    <w:rsid w:val="01E220BD"/>
    <w:rsid w:val="02166EA2"/>
    <w:rsid w:val="021C640D"/>
    <w:rsid w:val="02473816"/>
    <w:rsid w:val="025D18B7"/>
    <w:rsid w:val="026C20C7"/>
    <w:rsid w:val="02716A7E"/>
    <w:rsid w:val="028F4A7C"/>
    <w:rsid w:val="02971543"/>
    <w:rsid w:val="03090DF4"/>
    <w:rsid w:val="03233F50"/>
    <w:rsid w:val="0331607D"/>
    <w:rsid w:val="03D1620A"/>
    <w:rsid w:val="04057ACB"/>
    <w:rsid w:val="043175C0"/>
    <w:rsid w:val="043C7325"/>
    <w:rsid w:val="043F7567"/>
    <w:rsid w:val="04563A1F"/>
    <w:rsid w:val="04F06F7C"/>
    <w:rsid w:val="05386485"/>
    <w:rsid w:val="05815E14"/>
    <w:rsid w:val="05BD510D"/>
    <w:rsid w:val="05E50DEF"/>
    <w:rsid w:val="05E85726"/>
    <w:rsid w:val="061E4834"/>
    <w:rsid w:val="063F1F05"/>
    <w:rsid w:val="065C4EFE"/>
    <w:rsid w:val="06E85F4D"/>
    <w:rsid w:val="06F11B9E"/>
    <w:rsid w:val="06F77F96"/>
    <w:rsid w:val="0748732D"/>
    <w:rsid w:val="07ED50F6"/>
    <w:rsid w:val="080C703A"/>
    <w:rsid w:val="081F50F4"/>
    <w:rsid w:val="08852F02"/>
    <w:rsid w:val="090A76FC"/>
    <w:rsid w:val="0A1228C5"/>
    <w:rsid w:val="0ABF65E6"/>
    <w:rsid w:val="0ADC5A4C"/>
    <w:rsid w:val="0AE40214"/>
    <w:rsid w:val="0AE620BB"/>
    <w:rsid w:val="0B2B7F0C"/>
    <w:rsid w:val="0B323A27"/>
    <w:rsid w:val="0B4247FA"/>
    <w:rsid w:val="0B9660B9"/>
    <w:rsid w:val="0BB16B80"/>
    <w:rsid w:val="0CD21C7B"/>
    <w:rsid w:val="0D03300E"/>
    <w:rsid w:val="0D093355"/>
    <w:rsid w:val="0D0F4816"/>
    <w:rsid w:val="0D6D6013"/>
    <w:rsid w:val="0D7336B7"/>
    <w:rsid w:val="0E597ED8"/>
    <w:rsid w:val="0EF32D02"/>
    <w:rsid w:val="0F051D66"/>
    <w:rsid w:val="0F0C28B9"/>
    <w:rsid w:val="0F255F6D"/>
    <w:rsid w:val="0F493BEC"/>
    <w:rsid w:val="0F4946DB"/>
    <w:rsid w:val="0F7320B6"/>
    <w:rsid w:val="0F7D165B"/>
    <w:rsid w:val="0FCB2853"/>
    <w:rsid w:val="100770BC"/>
    <w:rsid w:val="100C4E0A"/>
    <w:rsid w:val="102172BF"/>
    <w:rsid w:val="10256291"/>
    <w:rsid w:val="10502DE1"/>
    <w:rsid w:val="106A1279"/>
    <w:rsid w:val="107163FC"/>
    <w:rsid w:val="1086284E"/>
    <w:rsid w:val="10B52845"/>
    <w:rsid w:val="10F225BB"/>
    <w:rsid w:val="111D6FEC"/>
    <w:rsid w:val="113E28A9"/>
    <w:rsid w:val="11551DC9"/>
    <w:rsid w:val="11996697"/>
    <w:rsid w:val="12003EA1"/>
    <w:rsid w:val="12566CC4"/>
    <w:rsid w:val="12C41296"/>
    <w:rsid w:val="12C61B21"/>
    <w:rsid w:val="13432146"/>
    <w:rsid w:val="135D6CC4"/>
    <w:rsid w:val="136455E5"/>
    <w:rsid w:val="13BB3C62"/>
    <w:rsid w:val="13F5417E"/>
    <w:rsid w:val="14057CF9"/>
    <w:rsid w:val="14407D83"/>
    <w:rsid w:val="144162BD"/>
    <w:rsid w:val="147A3864"/>
    <w:rsid w:val="155A43D8"/>
    <w:rsid w:val="155D4A58"/>
    <w:rsid w:val="15DE0D07"/>
    <w:rsid w:val="15E23F84"/>
    <w:rsid w:val="15E74E37"/>
    <w:rsid w:val="16F07B27"/>
    <w:rsid w:val="17112266"/>
    <w:rsid w:val="175736BC"/>
    <w:rsid w:val="17720520"/>
    <w:rsid w:val="17721AEC"/>
    <w:rsid w:val="17B54C4F"/>
    <w:rsid w:val="17B62373"/>
    <w:rsid w:val="17BB77F0"/>
    <w:rsid w:val="1813407D"/>
    <w:rsid w:val="185465F0"/>
    <w:rsid w:val="19376266"/>
    <w:rsid w:val="193A09AA"/>
    <w:rsid w:val="194752D9"/>
    <w:rsid w:val="19786DB1"/>
    <w:rsid w:val="197F1C0E"/>
    <w:rsid w:val="198B1CC1"/>
    <w:rsid w:val="19C65E5F"/>
    <w:rsid w:val="19D82A9A"/>
    <w:rsid w:val="19EB66D2"/>
    <w:rsid w:val="19EC4A75"/>
    <w:rsid w:val="19F920F4"/>
    <w:rsid w:val="1A2125AE"/>
    <w:rsid w:val="1A4423A5"/>
    <w:rsid w:val="1A860614"/>
    <w:rsid w:val="1A9F4685"/>
    <w:rsid w:val="1B0C1B19"/>
    <w:rsid w:val="1B514AA2"/>
    <w:rsid w:val="1B931C85"/>
    <w:rsid w:val="1B995899"/>
    <w:rsid w:val="1BA7430C"/>
    <w:rsid w:val="1BC86F19"/>
    <w:rsid w:val="1BC90814"/>
    <w:rsid w:val="1BCE7474"/>
    <w:rsid w:val="1BD758E1"/>
    <w:rsid w:val="1BDF2082"/>
    <w:rsid w:val="1C3E6AF6"/>
    <w:rsid w:val="1C631CF2"/>
    <w:rsid w:val="1CC15C8B"/>
    <w:rsid w:val="1CC83127"/>
    <w:rsid w:val="1CE343B6"/>
    <w:rsid w:val="1D0F3BD9"/>
    <w:rsid w:val="1DC80C5F"/>
    <w:rsid w:val="1DCF52AC"/>
    <w:rsid w:val="1DD705CD"/>
    <w:rsid w:val="1F266A48"/>
    <w:rsid w:val="1F6D2BBE"/>
    <w:rsid w:val="1FBA6F24"/>
    <w:rsid w:val="1FFF98CC"/>
    <w:rsid w:val="20266D8A"/>
    <w:rsid w:val="207849BB"/>
    <w:rsid w:val="208A2911"/>
    <w:rsid w:val="208F2612"/>
    <w:rsid w:val="21132153"/>
    <w:rsid w:val="211B6058"/>
    <w:rsid w:val="217F7D78"/>
    <w:rsid w:val="21E6158E"/>
    <w:rsid w:val="22626F49"/>
    <w:rsid w:val="22A43D66"/>
    <w:rsid w:val="22C065C2"/>
    <w:rsid w:val="236D7CC0"/>
    <w:rsid w:val="239116F9"/>
    <w:rsid w:val="24535B2D"/>
    <w:rsid w:val="248236F0"/>
    <w:rsid w:val="249042FA"/>
    <w:rsid w:val="24A628F3"/>
    <w:rsid w:val="24B347B6"/>
    <w:rsid w:val="24C82971"/>
    <w:rsid w:val="24F60CEE"/>
    <w:rsid w:val="25004743"/>
    <w:rsid w:val="25034794"/>
    <w:rsid w:val="254E0D95"/>
    <w:rsid w:val="25B65C32"/>
    <w:rsid w:val="25BC4207"/>
    <w:rsid w:val="260F621B"/>
    <w:rsid w:val="262C606D"/>
    <w:rsid w:val="265943AA"/>
    <w:rsid w:val="265D5639"/>
    <w:rsid w:val="26672631"/>
    <w:rsid w:val="269A0BFA"/>
    <w:rsid w:val="26AD6E48"/>
    <w:rsid w:val="26E72DA5"/>
    <w:rsid w:val="26F33AE5"/>
    <w:rsid w:val="27065F43"/>
    <w:rsid w:val="274C00F3"/>
    <w:rsid w:val="27A675FA"/>
    <w:rsid w:val="27E513D5"/>
    <w:rsid w:val="28557A48"/>
    <w:rsid w:val="288A5559"/>
    <w:rsid w:val="290C745E"/>
    <w:rsid w:val="291B6A5F"/>
    <w:rsid w:val="29436065"/>
    <w:rsid w:val="29AB3369"/>
    <w:rsid w:val="2A28471A"/>
    <w:rsid w:val="2A684F32"/>
    <w:rsid w:val="2AD52040"/>
    <w:rsid w:val="2AFA6952"/>
    <w:rsid w:val="2B8A543C"/>
    <w:rsid w:val="2BEF29AB"/>
    <w:rsid w:val="2BEF3F2E"/>
    <w:rsid w:val="2C6C5618"/>
    <w:rsid w:val="2C9E690D"/>
    <w:rsid w:val="2C9F7FD7"/>
    <w:rsid w:val="2CC27479"/>
    <w:rsid w:val="2CD47BC0"/>
    <w:rsid w:val="2D2C25D8"/>
    <w:rsid w:val="2D3E1194"/>
    <w:rsid w:val="2D4C786A"/>
    <w:rsid w:val="2DB634BD"/>
    <w:rsid w:val="2E051E03"/>
    <w:rsid w:val="2E434D33"/>
    <w:rsid w:val="2E4A5073"/>
    <w:rsid w:val="2E5936BD"/>
    <w:rsid w:val="2E7E02A9"/>
    <w:rsid w:val="2E851AB0"/>
    <w:rsid w:val="2EA700BB"/>
    <w:rsid w:val="2EA76ACE"/>
    <w:rsid w:val="2EBBA20D"/>
    <w:rsid w:val="2EEE0D1E"/>
    <w:rsid w:val="2F3CAEE1"/>
    <w:rsid w:val="2F56DC52"/>
    <w:rsid w:val="2F691F8F"/>
    <w:rsid w:val="2F7D6BA5"/>
    <w:rsid w:val="2F94264F"/>
    <w:rsid w:val="301C42C4"/>
    <w:rsid w:val="302765C7"/>
    <w:rsid w:val="305A2CB0"/>
    <w:rsid w:val="30C84E61"/>
    <w:rsid w:val="30D63D2C"/>
    <w:rsid w:val="30D95E3D"/>
    <w:rsid w:val="31262D68"/>
    <w:rsid w:val="319E6326"/>
    <w:rsid w:val="321275D6"/>
    <w:rsid w:val="323A0EF7"/>
    <w:rsid w:val="32EB8238"/>
    <w:rsid w:val="331770B1"/>
    <w:rsid w:val="33705686"/>
    <w:rsid w:val="33863494"/>
    <w:rsid w:val="33BA013E"/>
    <w:rsid w:val="33BF3EFE"/>
    <w:rsid w:val="33DA3D91"/>
    <w:rsid w:val="33E330A3"/>
    <w:rsid w:val="3408433A"/>
    <w:rsid w:val="340D7B12"/>
    <w:rsid w:val="344A2B14"/>
    <w:rsid w:val="345A238E"/>
    <w:rsid w:val="34655CC5"/>
    <w:rsid w:val="34C374C3"/>
    <w:rsid w:val="35384806"/>
    <w:rsid w:val="359E24B7"/>
    <w:rsid w:val="35E3279E"/>
    <w:rsid w:val="35FF5E38"/>
    <w:rsid w:val="366148E4"/>
    <w:rsid w:val="3707583F"/>
    <w:rsid w:val="37D64B34"/>
    <w:rsid w:val="37FA5CA2"/>
    <w:rsid w:val="380363FC"/>
    <w:rsid w:val="3846223E"/>
    <w:rsid w:val="38604D4F"/>
    <w:rsid w:val="38616E0F"/>
    <w:rsid w:val="388F429F"/>
    <w:rsid w:val="38910E1B"/>
    <w:rsid w:val="38ED4565"/>
    <w:rsid w:val="391F5708"/>
    <w:rsid w:val="394728E3"/>
    <w:rsid w:val="394936D4"/>
    <w:rsid w:val="39820393"/>
    <w:rsid w:val="399932B9"/>
    <w:rsid w:val="39B67A5A"/>
    <w:rsid w:val="39EB6B47"/>
    <w:rsid w:val="3A2443AC"/>
    <w:rsid w:val="3A357178"/>
    <w:rsid w:val="3A5C7A1E"/>
    <w:rsid w:val="3A8223BA"/>
    <w:rsid w:val="3A837EF1"/>
    <w:rsid w:val="3A954AAB"/>
    <w:rsid w:val="3AAF5FED"/>
    <w:rsid w:val="3B0C4B6A"/>
    <w:rsid w:val="3B7B7FEA"/>
    <w:rsid w:val="3B8471D7"/>
    <w:rsid w:val="3B88474A"/>
    <w:rsid w:val="3BAE2D70"/>
    <w:rsid w:val="3BBB761A"/>
    <w:rsid w:val="3C0959BF"/>
    <w:rsid w:val="3C351412"/>
    <w:rsid w:val="3C79117D"/>
    <w:rsid w:val="3CA11A4F"/>
    <w:rsid w:val="3CBF2BDF"/>
    <w:rsid w:val="3D56282D"/>
    <w:rsid w:val="3D5903BA"/>
    <w:rsid w:val="3D6E33D0"/>
    <w:rsid w:val="3D814536"/>
    <w:rsid w:val="3DAFE6AB"/>
    <w:rsid w:val="3DEA61A3"/>
    <w:rsid w:val="3DFB0A7A"/>
    <w:rsid w:val="3E07208F"/>
    <w:rsid w:val="3E314596"/>
    <w:rsid w:val="3E5C2E13"/>
    <w:rsid w:val="3EBB12F8"/>
    <w:rsid w:val="3F136F08"/>
    <w:rsid w:val="3F1453E2"/>
    <w:rsid w:val="3F575009"/>
    <w:rsid w:val="3F6E03EA"/>
    <w:rsid w:val="3F875451"/>
    <w:rsid w:val="3FB47851"/>
    <w:rsid w:val="3FF0495B"/>
    <w:rsid w:val="40266BC0"/>
    <w:rsid w:val="4100148C"/>
    <w:rsid w:val="424779B1"/>
    <w:rsid w:val="4265120D"/>
    <w:rsid w:val="42B811BA"/>
    <w:rsid w:val="43311772"/>
    <w:rsid w:val="437A6AAC"/>
    <w:rsid w:val="43912142"/>
    <w:rsid w:val="43A538C3"/>
    <w:rsid w:val="43B17632"/>
    <w:rsid w:val="43BB6137"/>
    <w:rsid w:val="448977E1"/>
    <w:rsid w:val="44DD3637"/>
    <w:rsid w:val="44EC245B"/>
    <w:rsid w:val="451930DF"/>
    <w:rsid w:val="457B2B2E"/>
    <w:rsid w:val="45A07594"/>
    <w:rsid w:val="45B7611D"/>
    <w:rsid w:val="45C649C8"/>
    <w:rsid w:val="45DD4EEC"/>
    <w:rsid w:val="45F20916"/>
    <w:rsid w:val="46193601"/>
    <w:rsid w:val="467811B4"/>
    <w:rsid w:val="468E49CF"/>
    <w:rsid w:val="46CE3DAE"/>
    <w:rsid w:val="46D96B01"/>
    <w:rsid w:val="46FB228A"/>
    <w:rsid w:val="4710514F"/>
    <w:rsid w:val="47401BD9"/>
    <w:rsid w:val="47767B6B"/>
    <w:rsid w:val="47776128"/>
    <w:rsid w:val="47B91949"/>
    <w:rsid w:val="480109E1"/>
    <w:rsid w:val="48084421"/>
    <w:rsid w:val="487D67F8"/>
    <w:rsid w:val="49601DCE"/>
    <w:rsid w:val="49806FDD"/>
    <w:rsid w:val="499C5A5B"/>
    <w:rsid w:val="49E807BE"/>
    <w:rsid w:val="4A6F7701"/>
    <w:rsid w:val="4A7605B0"/>
    <w:rsid w:val="4A8F3EEC"/>
    <w:rsid w:val="4AB56533"/>
    <w:rsid w:val="4AFFDB99"/>
    <w:rsid w:val="4B035E4E"/>
    <w:rsid w:val="4B314FEE"/>
    <w:rsid w:val="4B484922"/>
    <w:rsid w:val="4B6D5936"/>
    <w:rsid w:val="4B8B1A51"/>
    <w:rsid w:val="4BA979DE"/>
    <w:rsid w:val="4BF0096C"/>
    <w:rsid w:val="4BF45AF4"/>
    <w:rsid w:val="4C224452"/>
    <w:rsid w:val="4C3860BD"/>
    <w:rsid w:val="4C830CBE"/>
    <w:rsid w:val="4CC94B9E"/>
    <w:rsid w:val="4D0F5EE4"/>
    <w:rsid w:val="4D4774EB"/>
    <w:rsid w:val="4D6B26AB"/>
    <w:rsid w:val="4D7F70A0"/>
    <w:rsid w:val="4DD11B63"/>
    <w:rsid w:val="4DFB78AB"/>
    <w:rsid w:val="4E1C1E4A"/>
    <w:rsid w:val="4E440C4B"/>
    <w:rsid w:val="4E736E8F"/>
    <w:rsid w:val="4F0B3991"/>
    <w:rsid w:val="4F18074C"/>
    <w:rsid w:val="4F460E16"/>
    <w:rsid w:val="4F4A1B7A"/>
    <w:rsid w:val="4F8922EB"/>
    <w:rsid w:val="4FC70E2B"/>
    <w:rsid w:val="4FEB0650"/>
    <w:rsid w:val="4FFF06FB"/>
    <w:rsid w:val="50287AB7"/>
    <w:rsid w:val="503C4BB7"/>
    <w:rsid w:val="506643DA"/>
    <w:rsid w:val="50770396"/>
    <w:rsid w:val="507B5D4B"/>
    <w:rsid w:val="508323A3"/>
    <w:rsid w:val="509C5C2D"/>
    <w:rsid w:val="50CD1010"/>
    <w:rsid w:val="510A5A45"/>
    <w:rsid w:val="510B5604"/>
    <w:rsid w:val="511E6B60"/>
    <w:rsid w:val="514A52A4"/>
    <w:rsid w:val="517404FD"/>
    <w:rsid w:val="519D788E"/>
    <w:rsid w:val="51AA43D8"/>
    <w:rsid w:val="51E731FC"/>
    <w:rsid w:val="51EF049E"/>
    <w:rsid w:val="520E4BF9"/>
    <w:rsid w:val="52142D37"/>
    <w:rsid w:val="52440E17"/>
    <w:rsid w:val="524E6243"/>
    <w:rsid w:val="525A01F6"/>
    <w:rsid w:val="526D68B8"/>
    <w:rsid w:val="5274067B"/>
    <w:rsid w:val="52AB09A4"/>
    <w:rsid w:val="53012D86"/>
    <w:rsid w:val="536336AD"/>
    <w:rsid w:val="5365566B"/>
    <w:rsid w:val="53686091"/>
    <w:rsid w:val="53715433"/>
    <w:rsid w:val="54104DB2"/>
    <w:rsid w:val="547634B0"/>
    <w:rsid w:val="548B076D"/>
    <w:rsid w:val="549D0F92"/>
    <w:rsid w:val="54D75AAC"/>
    <w:rsid w:val="54E41682"/>
    <w:rsid w:val="556F4303"/>
    <w:rsid w:val="55C721AD"/>
    <w:rsid w:val="55E170C6"/>
    <w:rsid w:val="56550E29"/>
    <w:rsid w:val="5678590F"/>
    <w:rsid w:val="56870C86"/>
    <w:rsid w:val="56B52D59"/>
    <w:rsid w:val="56F80A17"/>
    <w:rsid w:val="570B47CD"/>
    <w:rsid w:val="57223CB4"/>
    <w:rsid w:val="5788375A"/>
    <w:rsid w:val="57E4246C"/>
    <w:rsid w:val="584E7332"/>
    <w:rsid w:val="58D8438D"/>
    <w:rsid w:val="58DD0D97"/>
    <w:rsid w:val="58FF76B6"/>
    <w:rsid w:val="590D66FE"/>
    <w:rsid w:val="592314F5"/>
    <w:rsid w:val="5930722A"/>
    <w:rsid w:val="59767887"/>
    <w:rsid w:val="598E0D10"/>
    <w:rsid w:val="5999200A"/>
    <w:rsid w:val="59A2285E"/>
    <w:rsid w:val="59A70E73"/>
    <w:rsid w:val="59B33F93"/>
    <w:rsid w:val="59E202E3"/>
    <w:rsid w:val="59F613AC"/>
    <w:rsid w:val="5A1DD210"/>
    <w:rsid w:val="5A283FF8"/>
    <w:rsid w:val="5A47502D"/>
    <w:rsid w:val="5A522BFB"/>
    <w:rsid w:val="5A651A30"/>
    <w:rsid w:val="5A6842B2"/>
    <w:rsid w:val="5B37355E"/>
    <w:rsid w:val="5B6A5F85"/>
    <w:rsid w:val="5BBA4C21"/>
    <w:rsid w:val="5BF39A90"/>
    <w:rsid w:val="5BF94355"/>
    <w:rsid w:val="5C704BFD"/>
    <w:rsid w:val="5C794C54"/>
    <w:rsid w:val="5D260D7F"/>
    <w:rsid w:val="5D5F2603"/>
    <w:rsid w:val="5DB1535D"/>
    <w:rsid w:val="5DC532B5"/>
    <w:rsid w:val="5DD0462F"/>
    <w:rsid w:val="5DFEB562"/>
    <w:rsid w:val="5E15517A"/>
    <w:rsid w:val="5E2F1AB2"/>
    <w:rsid w:val="5E2FBBDE"/>
    <w:rsid w:val="5E596D53"/>
    <w:rsid w:val="5E8B68A9"/>
    <w:rsid w:val="5E95464A"/>
    <w:rsid w:val="5EA2598A"/>
    <w:rsid w:val="5EC42E41"/>
    <w:rsid w:val="5EFF6126"/>
    <w:rsid w:val="5F1331A2"/>
    <w:rsid w:val="5F2FE7DB"/>
    <w:rsid w:val="5F6318A0"/>
    <w:rsid w:val="5FCDF55F"/>
    <w:rsid w:val="5FDE87C0"/>
    <w:rsid w:val="5FFB7D95"/>
    <w:rsid w:val="5FFE997E"/>
    <w:rsid w:val="604A7B30"/>
    <w:rsid w:val="604A7E4D"/>
    <w:rsid w:val="607F5FA2"/>
    <w:rsid w:val="60816481"/>
    <w:rsid w:val="60A83BEF"/>
    <w:rsid w:val="60E42762"/>
    <w:rsid w:val="61283336"/>
    <w:rsid w:val="61CB086F"/>
    <w:rsid w:val="61EC61D5"/>
    <w:rsid w:val="620F3632"/>
    <w:rsid w:val="622D5B65"/>
    <w:rsid w:val="62426068"/>
    <w:rsid w:val="625962D0"/>
    <w:rsid w:val="627E163D"/>
    <w:rsid w:val="62BA65AF"/>
    <w:rsid w:val="62C03308"/>
    <w:rsid w:val="62C27FB5"/>
    <w:rsid w:val="63105834"/>
    <w:rsid w:val="631B356D"/>
    <w:rsid w:val="63301864"/>
    <w:rsid w:val="63344920"/>
    <w:rsid w:val="635850D0"/>
    <w:rsid w:val="63A41FE7"/>
    <w:rsid w:val="63FF12C6"/>
    <w:rsid w:val="64683977"/>
    <w:rsid w:val="65793889"/>
    <w:rsid w:val="65A4478F"/>
    <w:rsid w:val="665A4520"/>
    <w:rsid w:val="667941CF"/>
    <w:rsid w:val="670F6A13"/>
    <w:rsid w:val="675D1920"/>
    <w:rsid w:val="679C3263"/>
    <w:rsid w:val="681D0C49"/>
    <w:rsid w:val="68334DD9"/>
    <w:rsid w:val="68493A8C"/>
    <w:rsid w:val="690805E4"/>
    <w:rsid w:val="69552B32"/>
    <w:rsid w:val="69632DF4"/>
    <w:rsid w:val="69762EF6"/>
    <w:rsid w:val="699A5665"/>
    <w:rsid w:val="69FC4934"/>
    <w:rsid w:val="6A0464CF"/>
    <w:rsid w:val="6A6E5B44"/>
    <w:rsid w:val="6AB74310"/>
    <w:rsid w:val="6B2B3DFF"/>
    <w:rsid w:val="6B4105C1"/>
    <w:rsid w:val="6B637816"/>
    <w:rsid w:val="6BCD4AC8"/>
    <w:rsid w:val="6BCF5512"/>
    <w:rsid w:val="6BD821D8"/>
    <w:rsid w:val="6BF377E0"/>
    <w:rsid w:val="6C0528A2"/>
    <w:rsid w:val="6C4C4637"/>
    <w:rsid w:val="6C9A5754"/>
    <w:rsid w:val="6CDA70B2"/>
    <w:rsid w:val="6CFD527C"/>
    <w:rsid w:val="6CFE64D1"/>
    <w:rsid w:val="6D0476D0"/>
    <w:rsid w:val="6D0F63AF"/>
    <w:rsid w:val="6D5F48CC"/>
    <w:rsid w:val="6D685249"/>
    <w:rsid w:val="6D7B1241"/>
    <w:rsid w:val="6D837C7A"/>
    <w:rsid w:val="6DDBB7AB"/>
    <w:rsid w:val="6DF220B0"/>
    <w:rsid w:val="6DFA0BED"/>
    <w:rsid w:val="6DFA6436"/>
    <w:rsid w:val="6E023F5C"/>
    <w:rsid w:val="6E28599C"/>
    <w:rsid w:val="6E4E1D85"/>
    <w:rsid w:val="6E757F5A"/>
    <w:rsid w:val="6E8C74B4"/>
    <w:rsid w:val="6EBD1B97"/>
    <w:rsid w:val="6EBD2188"/>
    <w:rsid w:val="6EDA2062"/>
    <w:rsid w:val="6F27465A"/>
    <w:rsid w:val="6F577A4B"/>
    <w:rsid w:val="6F5FB2BF"/>
    <w:rsid w:val="6F906373"/>
    <w:rsid w:val="6F9C4E6A"/>
    <w:rsid w:val="6FC5B3E0"/>
    <w:rsid w:val="6FE74798"/>
    <w:rsid w:val="6FF01A5C"/>
    <w:rsid w:val="6FFFD7E0"/>
    <w:rsid w:val="70172CD7"/>
    <w:rsid w:val="70197979"/>
    <w:rsid w:val="70574F8D"/>
    <w:rsid w:val="70BD57B1"/>
    <w:rsid w:val="71233D62"/>
    <w:rsid w:val="71664737"/>
    <w:rsid w:val="719742BD"/>
    <w:rsid w:val="719A6AE0"/>
    <w:rsid w:val="71A63542"/>
    <w:rsid w:val="71B67DD9"/>
    <w:rsid w:val="72044B77"/>
    <w:rsid w:val="72352D3E"/>
    <w:rsid w:val="726C367A"/>
    <w:rsid w:val="737A8BA6"/>
    <w:rsid w:val="737FC9FF"/>
    <w:rsid w:val="73AB02E7"/>
    <w:rsid w:val="73B12BA6"/>
    <w:rsid w:val="73BB21EF"/>
    <w:rsid w:val="73FF64EE"/>
    <w:rsid w:val="73FFDC02"/>
    <w:rsid w:val="7452064E"/>
    <w:rsid w:val="74827CAF"/>
    <w:rsid w:val="74A128ED"/>
    <w:rsid w:val="7500581E"/>
    <w:rsid w:val="753322E8"/>
    <w:rsid w:val="75736ACE"/>
    <w:rsid w:val="75A131ED"/>
    <w:rsid w:val="75BDBFF0"/>
    <w:rsid w:val="75BFDC90"/>
    <w:rsid w:val="7601183D"/>
    <w:rsid w:val="765D7FA0"/>
    <w:rsid w:val="76637569"/>
    <w:rsid w:val="76765196"/>
    <w:rsid w:val="76AC6597"/>
    <w:rsid w:val="76C119FE"/>
    <w:rsid w:val="771A43C7"/>
    <w:rsid w:val="7755E632"/>
    <w:rsid w:val="77777FEC"/>
    <w:rsid w:val="779627A5"/>
    <w:rsid w:val="77BD2B53"/>
    <w:rsid w:val="77BE9E2B"/>
    <w:rsid w:val="77CEF50C"/>
    <w:rsid w:val="77D55655"/>
    <w:rsid w:val="77D7670B"/>
    <w:rsid w:val="77F5836F"/>
    <w:rsid w:val="781400F4"/>
    <w:rsid w:val="787A25CC"/>
    <w:rsid w:val="788C9AAE"/>
    <w:rsid w:val="78D543AB"/>
    <w:rsid w:val="79077C3C"/>
    <w:rsid w:val="790E5DD7"/>
    <w:rsid w:val="79313FE4"/>
    <w:rsid w:val="79367BCD"/>
    <w:rsid w:val="796663FE"/>
    <w:rsid w:val="7973513E"/>
    <w:rsid w:val="79EB0D1D"/>
    <w:rsid w:val="7AFB559C"/>
    <w:rsid w:val="7B1571F0"/>
    <w:rsid w:val="7B4E1B6F"/>
    <w:rsid w:val="7B540214"/>
    <w:rsid w:val="7B6E4B58"/>
    <w:rsid w:val="7B6FF829"/>
    <w:rsid w:val="7B7B3551"/>
    <w:rsid w:val="7B8F41E8"/>
    <w:rsid w:val="7BB920BC"/>
    <w:rsid w:val="7BD004F2"/>
    <w:rsid w:val="7BDF19B6"/>
    <w:rsid w:val="7BEF17C6"/>
    <w:rsid w:val="7BF16575"/>
    <w:rsid w:val="7BF4227F"/>
    <w:rsid w:val="7C000190"/>
    <w:rsid w:val="7C11009B"/>
    <w:rsid w:val="7C2B5754"/>
    <w:rsid w:val="7C9D5C9F"/>
    <w:rsid w:val="7CA513CE"/>
    <w:rsid w:val="7CDFEE60"/>
    <w:rsid w:val="7CFCDDB7"/>
    <w:rsid w:val="7CFD25C7"/>
    <w:rsid w:val="7D37327B"/>
    <w:rsid w:val="7D962782"/>
    <w:rsid w:val="7D993006"/>
    <w:rsid w:val="7DCE3C29"/>
    <w:rsid w:val="7DEE5D7A"/>
    <w:rsid w:val="7E3F52D2"/>
    <w:rsid w:val="7E4C2E92"/>
    <w:rsid w:val="7E5B9A80"/>
    <w:rsid w:val="7E5BED67"/>
    <w:rsid w:val="7E725B75"/>
    <w:rsid w:val="7E765AE7"/>
    <w:rsid w:val="7EFB6141"/>
    <w:rsid w:val="7EFB9A8D"/>
    <w:rsid w:val="7EFF9100"/>
    <w:rsid w:val="7F5F7E04"/>
    <w:rsid w:val="7F7F113F"/>
    <w:rsid w:val="7FAF941D"/>
    <w:rsid w:val="7FD61232"/>
    <w:rsid w:val="7FE747A6"/>
    <w:rsid w:val="7FF78154"/>
    <w:rsid w:val="7FFBB38B"/>
    <w:rsid w:val="7FFCEE63"/>
    <w:rsid w:val="7FFD3AB8"/>
    <w:rsid w:val="7FFE7E1F"/>
    <w:rsid w:val="97FEE6B9"/>
    <w:rsid w:val="9C72B006"/>
    <w:rsid w:val="9CFEB9CC"/>
    <w:rsid w:val="9FF7012B"/>
    <w:rsid w:val="9FFC470D"/>
    <w:rsid w:val="AFA67FCB"/>
    <w:rsid w:val="AFD780F4"/>
    <w:rsid w:val="BBBD584F"/>
    <w:rsid w:val="BBDFBCBC"/>
    <w:rsid w:val="BBFBEA52"/>
    <w:rsid w:val="BD7567BE"/>
    <w:rsid w:val="BF77821E"/>
    <w:rsid w:val="BF9D08B5"/>
    <w:rsid w:val="BFD5A370"/>
    <w:rsid w:val="BFDF0C6B"/>
    <w:rsid w:val="BFEF0921"/>
    <w:rsid w:val="BFFE6B65"/>
    <w:rsid w:val="CB5F3640"/>
    <w:rsid w:val="CF72F09E"/>
    <w:rsid w:val="D7FF0872"/>
    <w:rsid w:val="D9FDFCE8"/>
    <w:rsid w:val="DB2F06F0"/>
    <w:rsid w:val="DBB8B964"/>
    <w:rsid w:val="DBD7DF1B"/>
    <w:rsid w:val="DBFF850C"/>
    <w:rsid w:val="DC72A880"/>
    <w:rsid w:val="DCBD4582"/>
    <w:rsid w:val="DCFD9F6E"/>
    <w:rsid w:val="DFFF8EA4"/>
    <w:rsid w:val="E6D55221"/>
    <w:rsid w:val="E75C8507"/>
    <w:rsid w:val="E76F55F6"/>
    <w:rsid w:val="EBB3992F"/>
    <w:rsid w:val="EBDB06DD"/>
    <w:rsid w:val="EBFF9B39"/>
    <w:rsid w:val="EC7E4C7A"/>
    <w:rsid w:val="EF3B55AF"/>
    <w:rsid w:val="EF6BD233"/>
    <w:rsid w:val="EFF6996A"/>
    <w:rsid w:val="EFFB2C78"/>
    <w:rsid w:val="F2FA03FF"/>
    <w:rsid w:val="F3D5973A"/>
    <w:rsid w:val="F5BE3834"/>
    <w:rsid w:val="F67D1F4A"/>
    <w:rsid w:val="F6FE83E0"/>
    <w:rsid w:val="F7756527"/>
    <w:rsid w:val="F7773112"/>
    <w:rsid w:val="F7D7FA45"/>
    <w:rsid w:val="F7F7CB43"/>
    <w:rsid w:val="F7FD23F7"/>
    <w:rsid w:val="F7FEB4F1"/>
    <w:rsid w:val="F97D0E30"/>
    <w:rsid w:val="FAFF15AA"/>
    <w:rsid w:val="FB3BE635"/>
    <w:rsid w:val="FBDD82CB"/>
    <w:rsid w:val="FCFF0B58"/>
    <w:rsid w:val="FD75F25C"/>
    <w:rsid w:val="FE2E387E"/>
    <w:rsid w:val="FEBCCD25"/>
    <w:rsid w:val="FEFD0739"/>
    <w:rsid w:val="FF6B3FDB"/>
    <w:rsid w:val="FF6F237F"/>
    <w:rsid w:val="FF77D8A5"/>
    <w:rsid w:val="FFB64AA2"/>
    <w:rsid w:val="FFBEC138"/>
    <w:rsid w:val="FFBFFD89"/>
    <w:rsid w:val="FFDD6C28"/>
    <w:rsid w:val="FFEF6EA4"/>
    <w:rsid w:val="FFEFD2F3"/>
    <w:rsid w:val="FFF516F3"/>
    <w:rsid w:val="FFF968DA"/>
    <w:rsid w:val="FFFA2CE6"/>
    <w:rsid w:val="FFFB2456"/>
    <w:rsid w:val="FFFC544D"/>
    <w:rsid w:val="FFFD60AC"/>
    <w:rsid w:val="FFFDBB2A"/>
    <w:rsid w:val="FFFF88C3"/>
    <w:rsid w:val="FFFFE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3"/>
    <w:basedOn w:val="1"/>
    <w:next w:val="1"/>
    <w:semiHidden/>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customStyle="1" w:styleId="2">
    <w:name w:val="正文：首行缩进2字符"/>
    <w:basedOn w:val="1"/>
    <w:qFormat/>
    <w:uiPriority w:val="0"/>
    <w:pPr>
      <w:spacing w:line="360" w:lineRule="atLeast"/>
      <w:ind w:firstLine="420"/>
    </w:pPr>
    <w:rPr>
      <w:rFonts w:cs="宋体"/>
      <w:szCs w:val="20"/>
    </w:rPr>
  </w:style>
  <w:style w:type="paragraph" w:styleId="4">
    <w:name w:val="table of authorities"/>
    <w:basedOn w:val="1"/>
    <w:next w:val="1"/>
    <w:qFormat/>
    <w:uiPriority w:val="0"/>
    <w:pPr>
      <w:ind w:left="420" w:leftChars="200"/>
    </w:pPr>
  </w:style>
  <w:style w:type="paragraph" w:styleId="5">
    <w:name w:val="Normal Indent"/>
    <w:basedOn w:val="1"/>
    <w:unhideWhenUsed/>
    <w:qFormat/>
    <w:uiPriority w:val="99"/>
    <w:pPr>
      <w:ind w:firstLine="420" w:firstLineChars="200"/>
    </w:pPr>
    <w:rPr>
      <w:rFonts w:eastAsia="仿宋"/>
      <w:sz w:val="32"/>
    </w:rPr>
  </w:style>
  <w:style w:type="paragraph" w:styleId="6">
    <w:name w:val="annotation text"/>
    <w:basedOn w:val="1"/>
    <w:qFormat/>
    <w:uiPriority w:val="0"/>
    <w:pPr>
      <w:jc w:val="left"/>
    </w:pPr>
  </w:style>
  <w:style w:type="paragraph" w:styleId="7">
    <w:name w:val="Body Text"/>
    <w:basedOn w:val="1"/>
    <w:qFormat/>
    <w:uiPriority w:val="0"/>
    <w:pPr>
      <w:spacing w:after="120"/>
    </w:pPr>
  </w:style>
  <w:style w:type="paragraph" w:styleId="8">
    <w:name w:val="Body Text Indent"/>
    <w:basedOn w:val="1"/>
    <w:next w:val="5"/>
    <w:semiHidden/>
    <w:qFormat/>
    <w:uiPriority w:val="99"/>
    <w:pPr>
      <w:spacing w:after="120"/>
      <w:ind w:left="420" w:leftChars="200"/>
    </w:pPr>
  </w:style>
  <w:style w:type="paragraph" w:styleId="9">
    <w:name w:val="Balloon Text"/>
    <w:basedOn w:val="1"/>
    <w:link w:val="20"/>
    <w:semiHidden/>
    <w:unhideWhenUsed/>
    <w:qFormat/>
    <w:uiPriority w:val="99"/>
    <w:rPr>
      <w:sz w:val="18"/>
      <w:szCs w:val="18"/>
    </w:rPr>
  </w:style>
  <w:style w:type="paragraph" w:styleId="10">
    <w:name w:val="footer"/>
    <w:basedOn w:val="1"/>
    <w:link w:val="19"/>
    <w:unhideWhenUsed/>
    <w:qFormat/>
    <w:uiPriority w:val="99"/>
    <w:pPr>
      <w:tabs>
        <w:tab w:val="center" w:pos="4153"/>
        <w:tab w:val="right" w:pos="8306"/>
      </w:tabs>
      <w:snapToGrid w:val="0"/>
      <w:jc w:val="left"/>
    </w:pPr>
    <w:rPr>
      <w:sz w:val="18"/>
      <w:szCs w:val="18"/>
    </w:rPr>
  </w:style>
  <w:style w:type="paragraph" w:styleId="11">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Body Text First Indent"/>
    <w:basedOn w:val="7"/>
    <w:qFormat/>
    <w:uiPriority w:val="0"/>
    <w:pPr>
      <w:ind w:firstLine="420" w:firstLineChars="100"/>
    </w:pPr>
  </w:style>
  <w:style w:type="paragraph" w:styleId="13">
    <w:name w:val="Body Text First Indent 2"/>
    <w:basedOn w:val="8"/>
    <w:next w:val="12"/>
    <w:qFormat/>
    <w:uiPriority w:val="99"/>
    <w:pPr>
      <w:ind w:firstLine="420" w:firstLineChars="200"/>
    </w:pPr>
    <w:rPr>
      <w:rFonts w:ascii="Calibri" w:hAnsi="Calibri"/>
    </w:rPr>
  </w:style>
  <w:style w:type="table" w:styleId="15">
    <w:name w:val="Table Grid"/>
    <w:basedOn w:val="14"/>
    <w:semiHidden/>
    <w:unhideWhenUsed/>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bCs/>
    </w:rPr>
  </w:style>
  <w:style w:type="character" w:customStyle="1" w:styleId="18">
    <w:name w:val="页眉 字符"/>
    <w:basedOn w:val="16"/>
    <w:link w:val="11"/>
    <w:qFormat/>
    <w:uiPriority w:val="99"/>
    <w:rPr>
      <w:sz w:val="18"/>
      <w:szCs w:val="18"/>
    </w:rPr>
  </w:style>
  <w:style w:type="character" w:customStyle="1" w:styleId="19">
    <w:name w:val="页脚 字符"/>
    <w:basedOn w:val="16"/>
    <w:link w:val="10"/>
    <w:qFormat/>
    <w:uiPriority w:val="99"/>
    <w:rPr>
      <w:sz w:val="18"/>
      <w:szCs w:val="18"/>
    </w:rPr>
  </w:style>
  <w:style w:type="character" w:customStyle="1" w:styleId="20">
    <w:name w:val="批注框文本 字符"/>
    <w:basedOn w:val="16"/>
    <w:link w:val="9"/>
    <w:semiHidden/>
    <w:qFormat/>
    <w:uiPriority w:val="99"/>
    <w:rPr>
      <w:sz w:val="18"/>
      <w:szCs w:val="18"/>
    </w:rPr>
  </w:style>
  <w:style w:type="character" w:customStyle="1" w:styleId="21">
    <w:name w:val="font21"/>
    <w:basedOn w:val="16"/>
    <w:qFormat/>
    <w:uiPriority w:val="0"/>
    <w:rPr>
      <w:rFonts w:hint="eastAsia" w:ascii="宋体" w:hAnsi="宋体" w:eastAsia="宋体" w:cs="宋体"/>
      <w:color w:val="000000"/>
      <w:sz w:val="24"/>
      <w:szCs w:val="24"/>
      <w:u w:val="none"/>
    </w:rPr>
  </w:style>
  <w:style w:type="character" w:customStyle="1" w:styleId="22">
    <w:name w:val="font01"/>
    <w:basedOn w:val="16"/>
    <w:qFormat/>
    <w:uiPriority w:val="0"/>
    <w:rPr>
      <w:rFonts w:hint="default" w:ascii="Times New Roman" w:hAnsi="Times New Roman" w:cs="Times New Roman"/>
      <w:color w:val="000000"/>
      <w:sz w:val="24"/>
      <w:szCs w:val="24"/>
      <w:u w:val="none"/>
    </w:rPr>
  </w:style>
  <w:style w:type="character" w:customStyle="1" w:styleId="23">
    <w:name w:val="font121"/>
    <w:basedOn w:val="16"/>
    <w:qFormat/>
    <w:uiPriority w:val="0"/>
    <w:rPr>
      <w:rFonts w:hint="eastAsia" w:ascii="宋体" w:hAnsi="宋体" w:eastAsia="宋体" w:cs="宋体"/>
      <w:color w:val="000000"/>
      <w:sz w:val="20"/>
      <w:szCs w:val="20"/>
      <w:u w:val="none"/>
    </w:rPr>
  </w:style>
  <w:style w:type="character" w:customStyle="1" w:styleId="24">
    <w:name w:val="font11"/>
    <w:basedOn w:val="16"/>
    <w:qFormat/>
    <w:uiPriority w:val="0"/>
    <w:rPr>
      <w:rFonts w:hint="eastAsia" w:ascii="宋体" w:hAnsi="宋体" w:eastAsia="宋体" w:cs="宋体"/>
      <w:color w:val="000000"/>
      <w:sz w:val="28"/>
      <w:szCs w:val="28"/>
      <w:u w:val="none"/>
    </w:rPr>
  </w:style>
  <w:style w:type="character" w:customStyle="1" w:styleId="25">
    <w:name w:val="font91"/>
    <w:basedOn w:val="16"/>
    <w:qFormat/>
    <w:uiPriority w:val="0"/>
    <w:rPr>
      <w:rFonts w:hint="default" w:ascii="Times New Roman" w:hAnsi="Times New Roman" w:cs="Times New Roman"/>
      <w:color w:val="000000"/>
      <w:sz w:val="28"/>
      <w:szCs w:val="28"/>
      <w:u w:val="none"/>
    </w:rPr>
  </w:style>
  <w:style w:type="character" w:customStyle="1" w:styleId="26">
    <w:name w:val="font31"/>
    <w:basedOn w:val="16"/>
    <w:qFormat/>
    <w:uiPriority w:val="0"/>
    <w:rPr>
      <w:rFonts w:hint="eastAsia" w:ascii="方正小标宋简体" w:hAnsi="方正小标宋简体" w:eastAsia="方正小标宋简体" w:cs="方正小标宋简体"/>
      <w:color w:val="000000"/>
      <w:sz w:val="48"/>
      <w:szCs w:val="48"/>
      <w:u w:val="none"/>
    </w:rPr>
  </w:style>
  <w:style w:type="character" w:customStyle="1" w:styleId="27">
    <w:name w:val="font41"/>
    <w:basedOn w:val="16"/>
    <w:qFormat/>
    <w:uiPriority w:val="0"/>
    <w:rPr>
      <w:rFonts w:hint="default" w:ascii="Times New Roman" w:hAnsi="Times New Roman" w:cs="Times New Roman"/>
      <w:color w:val="000000"/>
      <w:sz w:val="48"/>
      <w:szCs w:val="48"/>
      <w:u w:val="none"/>
    </w:rPr>
  </w:style>
  <w:style w:type="character" w:customStyle="1" w:styleId="28">
    <w:name w:val="font51"/>
    <w:basedOn w:val="16"/>
    <w:qFormat/>
    <w:uiPriority w:val="0"/>
    <w:rPr>
      <w:rFonts w:hint="default" w:ascii="楷体_GB2312" w:eastAsia="楷体_GB2312" w:cs="楷体_GB2312"/>
      <w:color w:val="000000"/>
      <w:sz w:val="32"/>
      <w:szCs w:val="32"/>
      <w:u w:val="none"/>
    </w:rPr>
  </w:style>
  <w:style w:type="character" w:customStyle="1" w:styleId="29">
    <w:name w:val="font71"/>
    <w:basedOn w:val="16"/>
    <w:qFormat/>
    <w:uiPriority w:val="0"/>
    <w:rPr>
      <w:rFonts w:hint="default" w:ascii="Times New Roman" w:hAnsi="Times New Roman" w:cs="Times New Roman"/>
      <w:color w:val="000000"/>
      <w:sz w:val="24"/>
      <w:szCs w:val="24"/>
      <w:u w:val="none"/>
    </w:rPr>
  </w:style>
  <w:style w:type="character" w:customStyle="1" w:styleId="30">
    <w:name w:val="font61"/>
    <w:basedOn w:val="16"/>
    <w:qFormat/>
    <w:uiPriority w:val="0"/>
    <w:rPr>
      <w:rFonts w:hint="eastAsia" w:ascii="宋体" w:hAnsi="宋体" w:eastAsia="宋体" w:cs="宋体"/>
      <w:color w:val="000000"/>
      <w:sz w:val="24"/>
      <w:szCs w:val="24"/>
      <w:u w:val="none"/>
    </w:rPr>
  </w:style>
  <w:style w:type="character" w:customStyle="1" w:styleId="31">
    <w:name w:val="font81"/>
    <w:basedOn w:val="16"/>
    <w:qFormat/>
    <w:uiPriority w:val="0"/>
    <w:rPr>
      <w:rFonts w:hint="eastAsia" w:ascii="宋体" w:hAnsi="宋体" w:eastAsia="宋体" w:cs="宋体"/>
      <w:b/>
      <w:bCs/>
      <w:color w:val="000000"/>
      <w:sz w:val="22"/>
      <w:szCs w:val="22"/>
      <w:u w:val="none"/>
    </w:rPr>
  </w:style>
  <w:style w:type="character" w:customStyle="1" w:styleId="32">
    <w:name w:val="font101"/>
    <w:basedOn w:val="16"/>
    <w:qFormat/>
    <w:uiPriority w:val="0"/>
    <w:rPr>
      <w:rFonts w:hint="eastAsia" w:ascii="宋体" w:hAnsi="宋体" w:eastAsia="宋体" w:cs="宋体"/>
      <w:color w:val="000000"/>
      <w:sz w:val="20"/>
      <w:szCs w:val="20"/>
      <w:u w:val="none"/>
    </w:rPr>
  </w:style>
  <w:style w:type="character" w:customStyle="1" w:styleId="33">
    <w:name w:val="font112"/>
    <w:basedOn w:val="16"/>
    <w:qFormat/>
    <w:uiPriority w:val="0"/>
    <w:rPr>
      <w:rFonts w:hint="eastAsia" w:ascii="宋体" w:hAnsi="宋体" w:eastAsia="宋体" w:cs="宋体"/>
      <w:color w:val="000000"/>
      <w:sz w:val="22"/>
      <w:szCs w:val="22"/>
      <w:u w:val="none"/>
    </w:rPr>
  </w:style>
  <w:style w:type="character" w:customStyle="1" w:styleId="34">
    <w:name w:val="font131"/>
    <w:basedOn w:val="16"/>
    <w:qFormat/>
    <w:uiPriority w:val="0"/>
    <w:rPr>
      <w:rFonts w:ascii="Cambria Math" w:hAnsi="Cambria Math" w:eastAsia="Cambria Math" w:cs="Cambria Math"/>
      <w:color w:val="000000"/>
      <w:sz w:val="22"/>
      <w:szCs w:val="22"/>
      <w:u w:val="none"/>
    </w:rPr>
  </w:style>
  <w:style w:type="character" w:customStyle="1" w:styleId="35">
    <w:name w:val="font111"/>
    <w:basedOn w:val="16"/>
    <w:qFormat/>
    <w:uiPriority w:val="0"/>
    <w:rPr>
      <w:rFonts w:hint="eastAsia" w:ascii="宋体-简" w:hAnsi="宋体-简" w:eastAsia="宋体-简" w:cs="宋体-简"/>
      <w:color w:val="000000"/>
      <w:sz w:val="24"/>
      <w:szCs w:val="24"/>
      <w:u w:val="none"/>
    </w:rPr>
  </w:style>
  <w:style w:type="character" w:customStyle="1" w:styleId="36">
    <w:name w:val="font122"/>
    <w:basedOn w:val="16"/>
    <w:qFormat/>
    <w:uiPriority w:val="0"/>
    <w:rPr>
      <w:rFonts w:ascii="宋体" w:hAnsi="宋体" w:eastAsia="宋体" w:cs="宋体"/>
      <w:color w:val="000000"/>
      <w:sz w:val="24"/>
      <w:szCs w:val="24"/>
      <w:u w:val="none"/>
    </w:rPr>
  </w:style>
  <w:style w:type="character" w:customStyle="1" w:styleId="37">
    <w:name w:val="fontstyle01"/>
    <w:qFormat/>
    <w:uiPriority w:val="0"/>
    <w:rPr>
      <w:rFonts w:ascii="仿宋_GB2312" w:hAnsi="仿宋_GB2312" w:eastAsia="仿宋_GB2312" w:cs="仿宋_GB2312"/>
      <w:color w:val="000000"/>
      <w:sz w:val="32"/>
      <w:szCs w:val="32"/>
    </w:rPr>
  </w:style>
  <w:style w:type="paragraph" w:customStyle="1" w:styleId="38">
    <w:name w:val="Char"/>
    <w:basedOn w:val="1"/>
    <w:qFormat/>
    <w:uiPriority w:val="99"/>
    <w:pPr>
      <w:widowControl/>
      <w:spacing w:after="160" w:line="240" w:lineRule="exact"/>
      <w:jc w:val="left"/>
    </w:pPr>
  </w:style>
  <w:style w:type="table" w:customStyle="1" w:styleId="39">
    <w:name w:val="Table Normal"/>
    <w:unhideWhenUsed/>
    <w:qFormat/>
    <w:uiPriority w:val="0"/>
    <w:tblPr>
      <w:tblCellMar>
        <w:top w:w="0" w:type="dxa"/>
        <w:left w:w="0" w:type="dxa"/>
        <w:bottom w:w="0" w:type="dxa"/>
        <w:right w:w="0" w:type="dxa"/>
      </w:tblCellMar>
    </w:tblPr>
  </w:style>
  <w:style w:type="paragraph" w:customStyle="1" w:styleId="40">
    <w:name w:val="Table Text"/>
    <w:basedOn w:val="1"/>
    <w:semiHidden/>
    <w:qFormat/>
    <w:uiPriority w:val="0"/>
    <w:rPr>
      <w:rFonts w:ascii="Arial" w:hAnsi="Arial" w:eastAsia="Arial" w:cs="Arial"/>
      <w:sz w:val="13"/>
      <w:szCs w:val="13"/>
      <w:lang w:val="en-US" w:eastAsia="en-US" w:bidi="ar-SA"/>
    </w:rPr>
  </w:style>
  <w:style w:type="character" w:customStyle="1" w:styleId="41">
    <w:name w:val="font13"/>
    <w:basedOn w:val="16"/>
    <w:qFormat/>
    <w:uiPriority w:val="0"/>
    <w:rPr>
      <w:rFonts w:hint="default" w:ascii="Arial" w:hAnsi="Arial" w:cs="Arial"/>
      <w:color w:val="000000"/>
      <w:sz w:val="28"/>
      <w:szCs w:val="28"/>
      <w:u w:val="none"/>
    </w:rPr>
  </w:style>
  <w:style w:type="character" w:customStyle="1" w:styleId="42">
    <w:name w:val="font132"/>
    <w:basedOn w:val="16"/>
    <w:qFormat/>
    <w:uiPriority w:val="0"/>
    <w:rPr>
      <w:rFonts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1715</Words>
  <Characters>1854</Characters>
  <Lines>39</Lines>
  <Paragraphs>11</Paragraphs>
  <TotalTime>1</TotalTime>
  <ScaleCrop>false</ScaleCrop>
  <LinksUpToDate>false</LinksUpToDate>
  <CharactersWithSpaces>1857</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2023-03-02T20:40:00Z</dcterms:created>
  <dc:creator>翘楚 李</dc:creator>
  <cp:lastModifiedBy>ybj</cp:lastModifiedBy>
  <cp:lastPrinted>2025-03-22T12:14:00Z</cp:lastPrinted>
  <dcterms:modified xsi:type="dcterms:W3CDTF">2025-03-27T20:36:07Z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78B3AB8649174BA887A4F39D74023D0F_13</vt:lpwstr>
  </property>
  <property fmtid="{D5CDD505-2E9C-101B-9397-08002B2CF9AE}" pid="4" name="KSOTemplateDocerSaveRecord">
    <vt:lpwstr>eyJoZGlkIjoiZjFmZWIzNDg2MmIzZjExOTIzMmViNTBmYTMwYTk0ZWYiLCJ1c2VySWQiOiI0MTgzMjQ1MDUifQ==</vt:lpwstr>
  </property>
</Properties>
</file>