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560" w:lineRule="exact"/>
        <w:jc w:val="center"/>
        <w:textAlignment w:val="auto"/>
        <w:rPr>
          <w:rFonts w:ascii="方正小标宋_GBK" w:hAnsi="方正小标宋_GBK" w:eastAsia="方正小标宋_GBK" w:cs="方正小标宋_GBK"/>
          <w:color w:val="auto"/>
          <w:sz w:val="44"/>
          <w:szCs w:val="44"/>
          <w:highlight w:val="none"/>
          <w:lang w:eastAsia="zh-CN"/>
        </w:rPr>
      </w:pPr>
    </w:p>
    <w:p>
      <w:pPr>
        <w:pStyle w:val="2"/>
        <w:rPr>
          <w:rFonts w:ascii="方正小标宋_GBK" w:hAnsi="方正小标宋_GBK" w:eastAsia="方正小标宋_GBK" w:cs="方正小标宋_GBK"/>
          <w:color w:val="auto"/>
          <w:sz w:val="44"/>
          <w:szCs w:val="44"/>
          <w:highlight w:val="none"/>
          <w:lang w:eastAsia="zh-CN"/>
        </w:rPr>
      </w:pPr>
    </w:p>
    <w:p>
      <w:pPr>
        <w:pStyle w:val="2"/>
        <w:ind w:left="0" w:leftChars="0" w:firstLine="0" w:firstLineChars="0"/>
        <w:rPr>
          <w:rFonts w:ascii="方正小标宋_GBK" w:hAnsi="方正小标宋_GBK" w:eastAsia="方正小标宋_GBK" w:cs="方正小标宋_GBK"/>
          <w:color w:val="auto"/>
          <w:sz w:val="44"/>
          <w:szCs w:val="44"/>
          <w:highlight w:val="none"/>
          <w:lang w:eastAsia="zh-CN"/>
        </w:rPr>
      </w:pPr>
    </w:p>
    <w:p>
      <w:pPr>
        <w:widowControl w:val="0"/>
        <w:kinsoku/>
        <w:autoSpaceDE/>
        <w:autoSpaceDN/>
        <w:adjustRightInd/>
        <w:snapToGrid/>
        <w:spacing w:line="560" w:lineRule="exact"/>
        <w:jc w:val="center"/>
        <w:textAlignment w:val="auto"/>
        <w:rPr>
          <w:rFonts w:ascii="方正仿宋_GBK" w:hAnsi="方正仿宋_GBK" w:eastAsia="方正仿宋_GBK" w:cs="方正仿宋_GBK"/>
          <w:color w:val="auto"/>
          <w:sz w:val="24"/>
          <w:szCs w:val="24"/>
          <w:highlight w:val="none"/>
          <w:lang w:eastAsia="zh-CN"/>
        </w:rPr>
      </w:pPr>
      <w:r>
        <w:rPr>
          <w:rFonts w:hint="eastAsia" w:ascii="方正小标宋_GBK" w:hAnsi="方正小标宋_GBK" w:eastAsia="方正小标宋_GBK" w:cs="方正小标宋_GBK"/>
          <w:color w:val="auto"/>
          <w:sz w:val="44"/>
          <w:szCs w:val="44"/>
          <w:highlight w:val="none"/>
          <w:lang w:eastAsia="zh-CN"/>
        </w:rPr>
        <w:t>新疆维吾尔自治区医疗救助补助资金（城乡医疗救助部分）转移支付2024年度绩效自评报告</w:t>
      </w:r>
    </w:p>
    <w:p>
      <w:pPr>
        <w:jc w:val="center"/>
        <w:rPr>
          <w:rFonts w:ascii="方正仿宋_GBK" w:hAnsi="方正仿宋_GBK" w:eastAsia="方正仿宋_GBK" w:cs="方正仿宋_GBK"/>
          <w:color w:val="auto"/>
          <w:sz w:val="24"/>
          <w:szCs w:val="24"/>
          <w:highlight w:val="none"/>
          <w:lang w:eastAsia="zh-CN"/>
        </w:rPr>
      </w:pPr>
    </w:p>
    <w:p>
      <w:pPr>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pStyle w:val="9"/>
        <w:rPr>
          <w:rFonts w:ascii="方正仿宋_GBK" w:hAnsi="方正仿宋_GBK" w:eastAsia="方正仿宋_GBK" w:cs="方正仿宋_GBK"/>
          <w:color w:val="auto"/>
          <w:sz w:val="24"/>
          <w:szCs w:val="24"/>
          <w:highlight w:val="none"/>
          <w:lang w:eastAsia="zh-CN"/>
        </w:rPr>
      </w:pPr>
    </w:p>
    <w:p>
      <w:pPr>
        <w:spacing w:line="560" w:lineRule="exact"/>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项目名称：医疗救助补助资金（城乡医疗救助部分）</w:t>
      </w:r>
    </w:p>
    <w:p>
      <w:pPr>
        <w:spacing w:line="560" w:lineRule="exact"/>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实施单位（公章）：新疆维吾尔自治区医疗保障局</w:t>
      </w:r>
    </w:p>
    <w:p>
      <w:pPr>
        <w:spacing w:line="560" w:lineRule="exact"/>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主管部门（公章）：新疆维吾尔自治区医疗保障局</w:t>
      </w:r>
    </w:p>
    <w:p>
      <w:pPr>
        <w:spacing w:line="560" w:lineRule="exact"/>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项目负责人（签章）：王志华</w:t>
      </w:r>
    </w:p>
    <w:p>
      <w:pPr>
        <w:spacing w:line="560" w:lineRule="exact"/>
        <w:rPr>
          <w:color w:val="auto"/>
          <w:highlight w:val="none"/>
          <w:lang w:eastAsia="zh-CN"/>
        </w:rPr>
        <w:sectPr>
          <w:pgSz w:w="11906" w:h="16838"/>
          <w:pgMar w:top="2098" w:right="1474" w:bottom="1984" w:left="1587" w:header="851" w:footer="992" w:gutter="0"/>
          <w:pgNumType w:start="1"/>
          <w:cols w:space="425" w:num="1"/>
          <w:docGrid w:type="lines" w:linePitch="312" w:charSpace="0"/>
        </w:sectPr>
      </w:pPr>
      <w:r>
        <w:rPr>
          <w:rFonts w:hint="eastAsia" w:ascii="黑体" w:hAnsi="黑体" w:eastAsia="黑体" w:cs="黑体"/>
          <w:color w:val="auto"/>
          <w:sz w:val="32"/>
          <w:szCs w:val="32"/>
          <w:highlight w:val="none"/>
          <w:lang w:eastAsia="zh-CN"/>
        </w:rPr>
        <w:t>填报时间：2025年3月2日</w:t>
      </w:r>
    </w:p>
    <w:p>
      <w:pPr>
        <w:pStyle w:val="9"/>
        <w:rPr>
          <w:color w:val="auto"/>
          <w:highlight w:val="none"/>
          <w:lang w:eastAsia="zh-CN"/>
        </w:rPr>
        <w:sectPr>
          <w:footerReference r:id="rId3" w:type="default"/>
          <w:pgSz w:w="11906" w:h="16838"/>
          <w:pgMar w:top="2098" w:right="1474" w:bottom="1984" w:left="1587" w:header="851" w:footer="992" w:gutter="0"/>
          <w:pgNumType w:start="1"/>
          <w:cols w:space="425" w:num="1"/>
          <w:docGrid w:type="lines" w:linePitch="312" w:charSpace="0"/>
        </w:sectPr>
      </w:pPr>
    </w:p>
    <w:p>
      <w:pPr>
        <w:widowControl w:val="0"/>
        <w:kinsoku/>
        <w:autoSpaceDE/>
        <w:autoSpaceDN/>
        <w:adjustRightInd/>
        <w:snapToGrid/>
        <w:spacing w:line="560" w:lineRule="exact"/>
        <w:jc w:val="center"/>
        <w:textAlignment w:val="auto"/>
        <w:rPr>
          <w:rFonts w:ascii="方正小标宋_GBK" w:hAnsi="方正小标宋_GBK" w:eastAsia="方正小标宋_GBK" w:cs="方正小标宋_GBK"/>
          <w:snapToGrid/>
          <w:color w:val="auto"/>
          <w:kern w:val="2"/>
          <w:sz w:val="44"/>
          <w:szCs w:val="44"/>
          <w:highlight w:val="none"/>
          <w:lang w:eastAsia="zh-CN"/>
        </w:rPr>
      </w:pPr>
      <w:r>
        <w:rPr>
          <w:rFonts w:hint="eastAsia" w:ascii="方正小标宋_GBK" w:hAnsi="方正小标宋_GBK" w:eastAsia="方正小标宋_GBK" w:cs="方正小标宋_GBK"/>
          <w:snapToGrid/>
          <w:color w:val="auto"/>
          <w:kern w:val="2"/>
          <w:sz w:val="36"/>
          <w:szCs w:val="36"/>
          <w:highlight w:val="none"/>
          <w:lang w:eastAsia="zh-CN"/>
        </w:rPr>
        <w:t>新疆维吾尔自治区医疗救助补助资金（城乡医疗救助部分）转移支付2024年度绩效自评报告</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val="en-US" w:eastAsia="zh-CN"/>
        </w:rPr>
      </w:pPr>
    </w:p>
    <w:p>
      <w:pPr>
        <w:pStyle w:val="4"/>
        <w:spacing w:line="560" w:lineRule="exact"/>
        <w:ind w:firstLine="644" w:firstLineChars="200"/>
        <w:jc w:val="both"/>
        <w:rPr>
          <w:rFonts w:hint="default" w:ascii="仿宋_GB2312" w:hAnsi="仿宋_GB2312" w:eastAsia="仿宋_GB2312" w:cs="仿宋_GB2312"/>
          <w:color w:val="auto"/>
          <w:spacing w:val="1"/>
          <w:highlight w:val="none"/>
          <w:lang w:val="en-US" w:eastAsia="zh-CN"/>
        </w:rPr>
      </w:pPr>
      <w:r>
        <w:rPr>
          <w:rFonts w:hint="eastAsia" w:ascii="仿宋_GB2312" w:hAnsi="仿宋_GB2312" w:eastAsia="仿宋_GB2312" w:cs="仿宋_GB2312"/>
          <w:color w:val="auto"/>
          <w:spacing w:val="1"/>
          <w:highlight w:val="none"/>
          <w:lang w:val="en-US" w:eastAsia="zh-CN"/>
        </w:rPr>
        <w:t>贯彻落实党中央全面实施预算绩效管理决策部署，根据《财政部关于开展2024年度中央对地方转移支付预算执行情况绩效自评工作的通知》（财监〔2025〕1号），自治区医疗保障局高度重视、严格按规范要求组织开展了2024年度医疗救助补助资金（城乡医疗救助部分）绩效自评工作，现将自评情况汇报如下：</w:t>
      </w:r>
    </w:p>
    <w:p>
      <w:pPr>
        <w:spacing w:before="234" w:line="560" w:lineRule="exact"/>
        <w:ind w:firstLine="620" w:firstLineChars="200"/>
        <w:outlineLvl w:val="0"/>
        <w:rPr>
          <w:rFonts w:ascii="黑体" w:hAnsi="黑体" w:eastAsia="黑体" w:cs="黑体"/>
          <w:color w:val="auto"/>
          <w:sz w:val="32"/>
          <w:szCs w:val="32"/>
          <w:highlight w:val="none"/>
          <w:lang w:eastAsia="zh-CN"/>
        </w:rPr>
      </w:pPr>
      <w:r>
        <w:rPr>
          <w:rFonts w:hint="eastAsia" w:ascii="黑体" w:hAnsi="黑体" w:eastAsia="黑体" w:cs="黑体"/>
          <w:color w:val="auto"/>
          <w:spacing w:val="-5"/>
          <w:sz w:val="32"/>
          <w:szCs w:val="32"/>
          <w:highlight w:val="none"/>
          <w:lang w:eastAsia="zh-CN"/>
        </w:rPr>
        <w:t>一、绩效目标分解下达情况</w:t>
      </w:r>
    </w:p>
    <w:p>
      <w:pPr>
        <w:pStyle w:val="4"/>
        <w:numPr>
          <w:ilvl w:val="0"/>
          <w:numId w:val="1"/>
        </w:numPr>
        <w:spacing w:line="560" w:lineRule="exact"/>
        <w:ind w:left="2" w:leftChars="0" w:firstLine="628" w:firstLineChars="0"/>
        <w:rPr>
          <w:rFonts w:ascii="楷体_GB2312" w:hAnsi="楷体_GB2312" w:eastAsia="楷体_GB2312" w:cs="楷体_GB2312"/>
          <w:b/>
          <w:bCs/>
          <w:color w:val="auto"/>
          <w:spacing w:val="-3"/>
          <w:highlight w:val="none"/>
          <w:lang w:eastAsia="zh-CN"/>
        </w:rPr>
      </w:pPr>
      <w:r>
        <w:rPr>
          <w:rFonts w:hint="eastAsia" w:ascii="楷体_GB2312" w:hAnsi="楷体_GB2312" w:eastAsia="楷体_GB2312" w:cs="楷体_GB2312"/>
          <w:b/>
          <w:bCs/>
          <w:color w:val="auto"/>
          <w:spacing w:val="-3"/>
          <w:highlight w:val="none"/>
          <w:lang w:eastAsia="zh-CN"/>
        </w:rPr>
        <w:t>中央下达医疗救助补助资金转移支付预算和区域绩效目标情况</w:t>
      </w:r>
    </w:p>
    <w:p>
      <w:pPr>
        <w:pStyle w:val="4"/>
        <w:spacing w:line="560" w:lineRule="exact"/>
        <w:ind w:firstLine="646" w:firstLineChars="200"/>
        <w:rPr>
          <w:rFonts w:ascii="仿宋_GB2312" w:hAnsi="仿宋_GB2312" w:eastAsia="仿宋_GB2312" w:cs="仿宋_GB2312"/>
          <w:b/>
          <w:bCs/>
          <w:color w:val="auto"/>
          <w:spacing w:val="1"/>
          <w:highlight w:val="none"/>
          <w:lang w:eastAsia="zh-CN"/>
        </w:rPr>
      </w:pPr>
      <w:r>
        <w:rPr>
          <w:rFonts w:hint="eastAsia" w:ascii="仿宋_GB2312" w:hAnsi="仿宋_GB2312" w:eastAsia="仿宋_GB2312" w:cs="仿宋_GB2312"/>
          <w:b/>
          <w:bCs/>
          <w:color w:val="auto"/>
          <w:spacing w:val="1"/>
          <w:highlight w:val="none"/>
          <w:lang w:eastAsia="zh-CN"/>
        </w:rPr>
        <w:t>1.下达预算情况</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eastAsia="zh-CN"/>
        </w:rPr>
      </w:pPr>
      <w:r>
        <w:rPr>
          <w:rFonts w:hint="eastAsia" w:ascii="仿宋_GB2312" w:hAnsi="仿宋_GB2312" w:eastAsia="仿宋_GB2312" w:cs="仿宋_GB2312"/>
          <w:color w:val="auto"/>
          <w:spacing w:val="1"/>
          <w:highlight w:val="none"/>
          <w:lang w:eastAsia="zh-CN"/>
        </w:rPr>
        <w:t>财政部分批下达我区2024年中央财政医疗救助补助资金（城乡医疗救助部分）共计173812万元。详细情况如下：</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eastAsia="zh-CN"/>
        </w:rPr>
      </w:pPr>
      <w:r>
        <w:rPr>
          <w:rFonts w:hint="eastAsia" w:ascii="仿宋_GB2312" w:hAnsi="仿宋_GB2312" w:eastAsia="仿宋_GB2312" w:cs="仿宋_GB2312"/>
          <w:color w:val="auto"/>
          <w:spacing w:val="1"/>
          <w:highlight w:val="none"/>
          <w:lang w:eastAsia="zh-CN"/>
        </w:rPr>
        <w:t>2023年10月</w:t>
      </w:r>
      <w:r>
        <w:rPr>
          <w:rFonts w:hint="eastAsia" w:ascii="仿宋_GB2312" w:hAnsi="仿宋_GB2312" w:eastAsia="仿宋_GB2312" w:cs="仿宋_GB2312"/>
          <w:color w:val="auto"/>
          <w:spacing w:val="1"/>
          <w:highlight w:val="none"/>
          <w:lang w:val="en-US" w:eastAsia="zh-CN"/>
        </w:rPr>
        <w:t>31日</w:t>
      </w:r>
      <w:r>
        <w:rPr>
          <w:rFonts w:hint="eastAsia" w:ascii="仿宋_GB2312" w:hAnsi="仿宋_GB2312" w:eastAsia="仿宋_GB2312" w:cs="仿宋_GB2312"/>
          <w:color w:val="auto"/>
          <w:spacing w:val="1"/>
          <w:highlight w:val="none"/>
          <w:lang w:eastAsia="zh-CN"/>
        </w:rPr>
        <w:t>，《财政部 国家医保局关于提前下达2024年中央财政医疗救助补助资金预算的通知》（财社〔2023〕139号）下达我区第一批医疗救助补助资金147027万元。</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eastAsia="zh-CN"/>
        </w:rPr>
      </w:pPr>
      <w:r>
        <w:rPr>
          <w:rFonts w:hint="eastAsia" w:ascii="仿宋_GB2312" w:hAnsi="仿宋_GB2312" w:eastAsia="仿宋_GB2312" w:cs="仿宋_GB2312"/>
          <w:color w:val="auto"/>
          <w:spacing w:val="1"/>
          <w:highlight w:val="none"/>
          <w:lang w:eastAsia="zh-CN"/>
        </w:rPr>
        <w:t>2024年4月</w:t>
      </w:r>
      <w:r>
        <w:rPr>
          <w:rFonts w:hint="eastAsia" w:ascii="仿宋_GB2312" w:hAnsi="仿宋_GB2312" w:eastAsia="仿宋_GB2312" w:cs="仿宋_GB2312"/>
          <w:color w:val="auto"/>
          <w:spacing w:val="1"/>
          <w:highlight w:val="none"/>
          <w:lang w:val="en-US" w:eastAsia="zh-CN"/>
        </w:rPr>
        <w:t>10日</w:t>
      </w:r>
      <w:r>
        <w:rPr>
          <w:rFonts w:hint="eastAsia" w:ascii="仿宋_GB2312" w:hAnsi="仿宋_GB2312" w:eastAsia="仿宋_GB2312" w:cs="仿宋_GB2312"/>
          <w:color w:val="auto"/>
          <w:spacing w:val="1"/>
          <w:highlight w:val="none"/>
          <w:lang w:eastAsia="zh-CN"/>
        </w:rPr>
        <w:t>，《财政部 国家医保局关于下达2024年中央财政医疗救助补助资金(城乡医疗救助部分)预算的通知》（财社〔2024〕34号）下达我区第二批医疗救助补助资金26785万元。</w:t>
      </w:r>
      <w:bookmarkStart w:id="0" w:name="_GoBack"/>
      <w:bookmarkEnd w:id="0"/>
    </w:p>
    <w:p>
      <w:pPr>
        <w:rPr>
          <w:rFonts w:hint="eastAsia" w:ascii="仿宋_GB2312" w:hAnsi="仿宋_GB2312" w:eastAsia="仿宋_GB2312" w:cs="仿宋_GB2312"/>
          <w:color w:val="auto"/>
          <w:spacing w:val="1"/>
          <w:highlight w:val="none"/>
          <w:lang w:eastAsia="zh-CN"/>
        </w:rPr>
      </w:pPr>
      <w:r>
        <w:rPr>
          <w:rFonts w:hint="eastAsia" w:ascii="仿宋_GB2312" w:hAnsi="仿宋_GB2312" w:eastAsia="仿宋_GB2312" w:cs="仿宋_GB2312"/>
          <w:color w:val="auto"/>
          <w:spacing w:val="1"/>
          <w:highlight w:val="none"/>
          <w:lang w:eastAsia="zh-CN"/>
        </w:rPr>
        <w:br w:type="page"/>
      </w:r>
    </w:p>
    <w:p>
      <w:pPr>
        <w:pStyle w:val="4"/>
        <w:spacing w:line="560" w:lineRule="exact"/>
        <w:ind w:firstLine="646" w:firstLineChars="200"/>
        <w:rPr>
          <w:rFonts w:ascii="仿宋_GB2312" w:hAnsi="仿宋_GB2312" w:eastAsia="仿宋_GB2312" w:cs="仿宋_GB2312"/>
          <w:b/>
          <w:bCs/>
          <w:color w:val="auto"/>
          <w:spacing w:val="1"/>
          <w:highlight w:val="none"/>
          <w:lang w:eastAsia="zh-CN"/>
        </w:rPr>
      </w:pPr>
      <w:r>
        <w:rPr>
          <w:rFonts w:hint="eastAsia" w:ascii="仿宋_GB2312" w:hAnsi="仿宋_GB2312" w:eastAsia="仿宋_GB2312" w:cs="仿宋_GB2312"/>
          <w:b/>
          <w:bCs/>
          <w:color w:val="auto"/>
          <w:spacing w:val="1"/>
          <w:highlight w:val="none"/>
          <w:lang w:eastAsia="zh-CN"/>
        </w:rPr>
        <w:t>2.</w:t>
      </w:r>
      <w:r>
        <w:rPr>
          <w:rFonts w:hint="eastAsia" w:ascii="仿宋_GB2312" w:hAnsi="仿宋_GB2312" w:eastAsia="仿宋_GB2312" w:cs="仿宋_GB2312"/>
          <w:b/>
          <w:bCs/>
          <w:color w:val="auto"/>
          <w:spacing w:val="1"/>
          <w:highlight w:val="none"/>
          <w:lang w:val="en-US" w:eastAsia="zh-CN"/>
        </w:rPr>
        <w:t>下达</w:t>
      </w:r>
      <w:r>
        <w:rPr>
          <w:rFonts w:hint="eastAsia" w:ascii="仿宋_GB2312" w:hAnsi="仿宋_GB2312" w:eastAsia="仿宋_GB2312" w:cs="仿宋_GB2312"/>
          <w:b/>
          <w:bCs/>
          <w:color w:val="auto"/>
          <w:spacing w:val="1"/>
          <w:highlight w:val="none"/>
          <w:lang w:eastAsia="zh-CN"/>
        </w:rPr>
        <w:t>绩效目标情况</w:t>
      </w:r>
    </w:p>
    <w:p>
      <w:pPr>
        <w:pStyle w:val="4"/>
        <w:keepNext w:val="0"/>
        <w:keepLines w:val="0"/>
        <w:pageBreakBefore w:val="0"/>
        <w:widowControl/>
        <w:kinsoku w:val="0"/>
        <w:wordWrap/>
        <w:overflowPunct/>
        <w:topLinePunct w:val="0"/>
        <w:autoSpaceDE w:val="0"/>
        <w:autoSpaceDN w:val="0"/>
        <w:bidi w:val="0"/>
        <w:adjustRightInd w:val="0"/>
        <w:snapToGrid w:val="0"/>
        <w:spacing w:line="400" w:lineRule="exact"/>
        <w:ind w:firstLine="644" w:firstLineChars="200"/>
        <w:jc w:val="both"/>
        <w:textAlignment w:val="baseline"/>
        <w:rPr>
          <w:rFonts w:hint="eastAsia" w:ascii="仿宋_GB2312" w:hAnsi="仿宋_GB2312" w:eastAsia="仿宋_GB2312" w:cs="仿宋_GB2312"/>
          <w:color w:val="auto"/>
          <w:spacing w:val="1"/>
          <w:highlight w:val="none"/>
          <w:lang w:eastAsia="zh-CN"/>
        </w:rPr>
      </w:pPr>
      <w:r>
        <w:rPr>
          <w:rFonts w:hint="eastAsia" w:ascii="仿宋_GB2312" w:hAnsi="仿宋_GB2312" w:eastAsia="仿宋_GB2312" w:cs="仿宋_GB2312"/>
          <w:color w:val="auto"/>
          <w:spacing w:val="1"/>
          <w:highlight w:val="none"/>
          <w:lang w:val="en-US" w:eastAsia="zh-CN"/>
        </w:rPr>
        <w:t>财政部随文下达新疆区域绩效目标如下：</w:t>
      </w:r>
    </w:p>
    <w:p>
      <w:pPr>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22"/>
        <w:gridCol w:w="951"/>
        <w:gridCol w:w="1514"/>
        <w:gridCol w:w="2163"/>
        <w:gridCol w:w="2572"/>
      </w:tblGrid>
      <w:tr>
        <w:tblPrEx>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tcPr>
          <w:p>
            <w:pPr>
              <w:jc w:val="center"/>
              <w:textAlignment w:val="top"/>
              <w:rPr>
                <w:rFonts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lang w:eastAsia="zh-CN"/>
              </w:rPr>
              <w:t>2024年中央财政医疗救助补助资金(城乡医疗救助部分)</w:t>
            </w:r>
          </w:p>
          <w:p>
            <w:pPr>
              <w:jc w:val="center"/>
              <w:textAlignment w:val="top"/>
              <w:rPr>
                <w:rFonts w:ascii="宋体" w:hAnsi="宋体" w:eastAsia="宋体" w:cs="宋体"/>
                <w:b/>
                <w:bCs/>
                <w:color w:val="auto"/>
                <w:sz w:val="32"/>
                <w:szCs w:val="32"/>
                <w:highlight w:val="none"/>
              </w:rPr>
            </w:pPr>
            <w:r>
              <w:rPr>
                <w:rFonts w:hint="eastAsia" w:ascii="仿宋_GB2312" w:hAnsi="仿宋_GB2312" w:eastAsia="仿宋_GB2312" w:cs="仿宋_GB2312"/>
                <w:b/>
                <w:bCs/>
                <w:color w:val="auto"/>
                <w:sz w:val="24"/>
                <w:szCs w:val="24"/>
                <w:highlight w:val="none"/>
                <w:lang w:eastAsia="zh-CN"/>
              </w:rPr>
              <w:t>区域绩效目标表</w:t>
            </w:r>
          </w:p>
        </w:tc>
      </w:tr>
      <w:tr>
        <w:tblPrEx>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b/>
                <w:bCs/>
                <w:color w:val="auto"/>
                <w:highlight w:val="none"/>
                <w:lang w:eastAsia="zh-CN"/>
              </w:rPr>
              <w:t>(2024年度)</w:t>
            </w:r>
          </w:p>
        </w:tc>
      </w:tr>
      <w:tr>
        <w:tblPrEx>
          <w:tblCellMar>
            <w:top w:w="0" w:type="dxa"/>
            <w:left w:w="108" w:type="dxa"/>
            <w:bottom w:w="0" w:type="dxa"/>
            <w:right w:w="108" w:type="dxa"/>
          </w:tblCellMar>
        </w:tblPrEx>
        <w:trPr>
          <w:trHeight w:val="33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36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省份</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新疆维吾尔自治区</w:t>
            </w:r>
          </w:p>
        </w:tc>
      </w:tr>
      <w:tr>
        <w:tblPrEx>
          <w:tblCellMar>
            <w:top w:w="0" w:type="dxa"/>
            <w:left w:w="108" w:type="dxa"/>
            <w:bottom w:w="0" w:type="dxa"/>
            <w:right w:w="108" w:type="dxa"/>
          </w:tblCellMar>
        </w:tblPrEx>
        <w:trPr>
          <w:trHeight w:val="320"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31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311"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173812</w:t>
            </w:r>
          </w:p>
        </w:tc>
      </w:tr>
      <w:tr>
        <w:tblPrEx>
          <w:tblCellMar>
            <w:top w:w="0" w:type="dxa"/>
            <w:left w:w="108" w:type="dxa"/>
            <w:bottom w:w="0" w:type="dxa"/>
            <w:right w:w="108" w:type="dxa"/>
          </w:tblCellMar>
        </w:tblPrEx>
        <w:trPr>
          <w:trHeight w:val="30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173812 </w:t>
            </w:r>
          </w:p>
        </w:tc>
      </w:tr>
      <w:tr>
        <w:tblPrEx>
          <w:tblCellMar>
            <w:top w:w="0" w:type="dxa"/>
            <w:left w:w="108" w:type="dxa"/>
            <w:bottom w:w="0" w:type="dxa"/>
            <w:right w:w="108" w:type="dxa"/>
          </w:tblCellMar>
        </w:tblPrEx>
        <w:trPr>
          <w:trHeight w:val="238"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eastAsia="仿宋_GB2312" w:cs="仿宋_GB2312"/>
                <w:color w:val="auto"/>
                <w:sz w:val="20"/>
                <w:szCs w:val="20"/>
                <w:highlight w:val="none"/>
                <w:lang w:val="en-US" w:eastAsia="zh-CN"/>
              </w:rPr>
            </w:pPr>
            <w:r>
              <w:rPr>
                <w:rFonts w:hint="eastAsia" w:asci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trHeight w:val="248"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eastAsia="仿宋_GB2312" w:cs="仿宋_GB2312"/>
                <w:color w:val="auto"/>
                <w:sz w:val="20"/>
                <w:szCs w:val="20"/>
                <w:highlight w:val="none"/>
                <w:lang w:val="en-US" w:eastAsia="zh-CN"/>
              </w:rPr>
            </w:pPr>
            <w:r>
              <w:rPr>
                <w:rFonts w:hint="eastAsia" w:asci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trHeight w:val="753" w:hRule="atLeast"/>
        </w:trPr>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75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84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2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2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0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15"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pStyle w:val="4"/>
        <w:spacing w:before="219" w:line="345" w:lineRule="auto"/>
        <w:ind w:right="45"/>
        <w:rPr>
          <w:color w:val="auto"/>
          <w:spacing w:val="-3"/>
          <w:sz w:val="30"/>
          <w:szCs w:val="30"/>
          <w:highlight w:val="none"/>
          <w:lang w:eastAsia="zh-CN"/>
        </w:rPr>
      </w:pPr>
    </w:p>
    <w:p>
      <w:pPr>
        <w:pStyle w:val="4"/>
        <w:numPr>
          <w:ilvl w:val="0"/>
          <w:numId w:val="1"/>
        </w:numPr>
        <w:spacing w:line="560" w:lineRule="exact"/>
        <w:ind w:left="2" w:leftChars="0" w:firstLine="628" w:firstLineChars="0"/>
        <w:rPr>
          <w:b/>
          <w:bCs/>
          <w:color w:val="auto"/>
          <w:highlight w:val="none"/>
          <w:lang w:eastAsia="zh-CN"/>
        </w:rPr>
      </w:pPr>
      <w:r>
        <w:rPr>
          <w:rFonts w:hint="eastAsia" w:ascii="楷体_GB2312" w:hAnsi="楷体_GB2312" w:eastAsia="楷体_GB2312" w:cs="楷体_GB2312"/>
          <w:b/>
          <w:bCs/>
          <w:color w:val="auto"/>
          <w:spacing w:val="-3"/>
          <w:highlight w:val="none"/>
          <w:lang w:eastAsia="zh-CN"/>
        </w:rPr>
        <w:t>自治区资金安排、分解下达预算和绩效目标情况</w:t>
      </w:r>
    </w:p>
    <w:p>
      <w:pPr>
        <w:pStyle w:val="4"/>
        <w:spacing w:line="560" w:lineRule="exact"/>
        <w:ind w:firstLine="630" w:firstLineChars="200"/>
        <w:rPr>
          <w:rFonts w:ascii="仿宋_GB2312" w:hAnsi="仿宋_GB2312" w:eastAsia="仿宋_GB2312" w:cs="仿宋_GB2312"/>
          <w:b/>
          <w:color w:val="auto"/>
          <w:spacing w:val="-3"/>
          <w:highlight w:val="none"/>
          <w:lang w:eastAsia="zh-CN"/>
        </w:rPr>
      </w:pPr>
      <w:r>
        <w:rPr>
          <w:rFonts w:hint="eastAsia" w:ascii="仿宋_GB2312" w:hAnsi="仿宋_GB2312" w:eastAsia="仿宋_GB2312" w:cs="仿宋_GB2312"/>
          <w:b/>
          <w:color w:val="auto"/>
          <w:spacing w:val="-3"/>
          <w:highlight w:val="none"/>
          <w:lang w:val="en-US" w:eastAsia="zh-CN"/>
        </w:rPr>
        <w:t>1</w:t>
      </w:r>
      <w:r>
        <w:rPr>
          <w:rFonts w:hint="eastAsia" w:ascii="仿宋_GB2312" w:hAnsi="仿宋_GB2312" w:eastAsia="仿宋_GB2312" w:cs="仿宋_GB2312"/>
          <w:b/>
          <w:color w:val="auto"/>
          <w:spacing w:val="-3"/>
          <w:highlight w:val="none"/>
          <w:lang w:eastAsia="zh-CN"/>
        </w:rPr>
        <w:t>.自治区分解下达预算情况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2023年12月14日，自治区</w:t>
      </w:r>
      <w:r>
        <w:rPr>
          <w:rFonts w:hint="eastAsia" w:ascii="仿宋_GB2312" w:hAnsi="仿宋_GB2312" w:eastAsia="仿宋_GB2312" w:cs="仿宋_GB2312"/>
          <w:color w:val="auto"/>
          <w:sz w:val="32"/>
          <w:szCs w:val="32"/>
          <w:highlight w:val="none"/>
          <w:lang w:eastAsia="zh-CN"/>
        </w:rPr>
        <w:t>《关于提前下达2024年自治区财政医疗救助补助资金预算的通知》（新财社〔2023〕199号）</w:t>
      </w:r>
      <w:r>
        <w:rPr>
          <w:rFonts w:hint="eastAsia" w:ascii="仿宋_GB2312" w:hAnsi="仿宋_GB2312" w:eastAsia="仿宋_GB2312" w:cs="仿宋_GB2312"/>
          <w:color w:val="auto"/>
          <w:sz w:val="32"/>
          <w:szCs w:val="32"/>
          <w:highlight w:val="none"/>
          <w:lang w:val="en-US" w:eastAsia="zh-CN"/>
        </w:rPr>
        <w:t>分解下达自治区资金2000万元。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2023年1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16日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自治区</w:t>
      </w:r>
      <w:r>
        <w:rPr>
          <w:rFonts w:hint="eastAsia" w:ascii="仿宋_GB2312" w:hAnsi="仿宋_GB2312" w:eastAsia="仿宋_GB2312" w:cs="仿宋_GB2312"/>
          <w:color w:val="auto"/>
          <w:sz w:val="32"/>
          <w:szCs w:val="32"/>
          <w:highlight w:val="none"/>
          <w:lang w:eastAsia="zh-CN"/>
        </w:rPr>
        <w:t>《关于提前下达2024年中央财政医疗救助补助资金预算的通知》（新财社〔2023〕190号）</w:t>
      </w:r>
      <w:r>
        <w:rPr>
          <w:rFonts w:hint="eastAsia" w:ascii="仿宋_GB2312" w:hAnsi="仿宋_GB2312" w:eastAsia="仿宋_GB2312" w:cs="仿宋_GB2312"/>
          <w:color w:val="auto"/>
          <w:sz w:val="32"/>
          <w:szCs w:val="32"/>
          <w:highlight w:val="none"/>
          <w:lang w:val="en-US" w:eastAsia="zh-CN"/>
        </w:rPr>
        <w:t>分解下达中央资金</w:t>
      </w:r>
      <w:r>
        <w:rPr>
          <w:rFonts w:hint="eastAsia" w:ascii="仿宋_GB2312" w:hAnsi="仿宋_GB2312" w:eastAsia="仿宋_GB2312" w:cs="仿宋_GB2312"/>
          <w:color w:val="auto"/>
          <w:sz w:val="32"/>
          <w:szCs w:val="32"/>
          <w:highlight w:val="none"/>
          <w:lang w:eastAsia="zh-CN"/>
        </w:rPr>
        <w:t>147027万元。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24日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自治区《关于下达2024年中央财政医疗救助补助资金(城乡医疗救助部分)预算的通知》（新财社〔2024〕37号）分解下达中央资金</w:t>
      </w:r>
      <w:r>
        <w:rPr>
          <w:rFonts w:hint="eastAsia" w:ascii="仿宋_GB2312" w:hAnsi="仿宋_GB2312" w:eastAsia="仿宋_GB2312" w:cs="仿宋_GB2312"/>
          <w:color w:val="auto"/>
          <w:sz w:val="32"/>
          <w:szCs w:val="32"/>
          <w:highlight w:val="none"/>
          <w:lang w:eastAsia="zh-CN"/>
        </w:rPr>
        <w:t>26785万元。</w:t>
      </w:r>
    </w:p>
    <w:p>
      <w:pPr>
        <w:spacing w:line="560" w:lineRule="exact"/>
        <w:ind w:firstLine="640" w:firstLineChars="200"/>
        <w:jc w:val="both"/>
        <w:rPr>
          <w:rFonts w:hint="default" w:ascii="仿宋_GB2312" w:hAnsi="仿宋_GB2312" w:eastAsia="仿宋_GB2312" w:cs="仿宋_GB2312"/>
          <w:snapToGrid w:val="0"/>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新疆2024年医疗救助补助资金项目，共计资金175812万元，其中中央资金共计173812万元，自治区资金2000万元。</w:t>
      </w:r>
    </w:p>
    <w:p>
      <w:pPr>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2024年新疆医疗救助补助资金分解</w:t>
      </w:r>
      <w:r>
        <w:rPr>
          <w:rFonts w:hint="eastAsia" w:ascii="仿宋_GB2312" w:hAnsi="仿宋_GB2312" w:eastAsia="仿宋_GB2312" w:cs="仿宋_GB2312"/>
          <w:color w:val="auto"/>
          <w:sz w:val="32"/>
          <w:szCs w:val="32"/>
          <w:highlight w:val="none"/>
          <w:lang w:eastAsia="zh-CN"/>
        </w:rPr>
        <w:t>如下：</w:t>
      </w:r>
    </w:p>
    <w:p>
      <w:pPr>
        <w:pStyle w:val="2"/>
        <w:rPr>
          <w:color w:val="auto"/>
          <w:highlight w:val="none"/>
          <w:lang w:eastAsia="zh-CN"/>
        </w:rPr>
      </w:pPr>
    </w:p>
    <w:tbl>
      <w:tblPr>
        <w:tblStyle w:val="7"/>
        <w:tblW w:w="5000" w:type="pct"/>
        <w:tblInd w:w="0" w:type="dxa"/>
        <w:tblLayout w:type="fixed"/>
        <w:tblCellMar>
          <w:top w:w="0" w:type="dxa"/>
          <w:left w:w="108" w:type="dxa"/>
          <w:bottom w:w="0" w:type="dxa"/>
          <w:right w:w="108" w:type="dxa"/>
        </w:tblCellMar>
      </w:tblPr>
      <w:tblGrid>
        <w:gridCol w:w="874"/>
        <w:gridCol w:w="1432"/>
        <w:gridCol w:w="1283"/>
        <w:gridCol w:w="1253"/>
        <w:gridCol w:w="1123"/>
        <w:gridCol w:w="1275"/>
        <w:gridCol w:w="1282"/>
      </w:tblGrid>
      <w:tr>
        <w:tblPrEx>
          <w:tblCellMar>
            <w:top w:w="0" w:type="dxa"/>
            <w:left w:w="108" w:type="dxa"/>
            <w:bottom w:w="0" w:type="dxa"/>
            <w:right w:w="108" w:type="dxa"/>
          </w:tblCellMar>
        </w:tblPrEx>
        <w:trPr>
          <w:trHeight w:val="780" w:hRule="atLeast"/>
        </w:trPr>
        <w:tc>
          <w:tcPr>
            <w:tcW w:w="5000" w:type="pct"/>
            <w:gridSpan w:val="7"/>
            <w:tcBorders>
              <w:top w:val="nil"/>
              <w:left w:val="nil"/>
              <w:bottom w:val="nil"/>
              <w:right w:val="nil"/>
            </w:tcBorders>
            <w:shd w:val="clear" w:color="auto" w:fill="auto"/>
          </w:tcPr>
          <w:p>
            <w:pPr>
              <w:jc w:val="center"/>
              <w:textAlignment w:val="top"/>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2024年新疆维吾尔自治区医疗救助补助资金（城乡医疗救助部分）</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分解下达情况</w:t>
            </w:r>
          </w:p>
        </w:tc>
      </w:tr>
      <w:tr>
        <w:tblPrEx>
          <w:tblCellMar>
            <w:top w:w="0" w:type="dxa"/>
            <w:left w:w="108" w:type="dxa"/>
            <w:bottom w:w="0" w:type="dxa"/>
            <w:right w:w="108" w:type="dxa"/>
          </w:tblCellMar>
        </w:tblPrEx>
        <w:trPr>
          <w:trHeight w:val="480" w:hRule="atLeast"/>
        </w:trPr>
        <w:tc>
          <w:tcPr>
            <w:tcW w:w="5000" w:type="pct"/>
            <w:gridSpan w:val="7"/>
            <w:tcBorders>
              <w:top w:val="nil"/>
              <w:left w:val="nil"/>
              <w:bottom w:val="nil"/>
              <w:right w:val="nil"/>
            </w:tcBorders>
            <w:shd w:val="clear" w:color="auto" w:fill="auto"/>
            <w:vAlign w:val="center"/>
          </w:tcPr>
          <w:p>
            <w:pPr>
              <w:jc w:val="right"/>
              <w:textAlignment w:val="center"/>
              <w:rPr>
                <w:rFonts w:ascii="仿宋_GB2312" w:eastAsia="仿宋_GB2312" w:cs="仿宋_GB2312"/>
                <w:b/>
                <w:bCs/>
                <w:color w:val="auto"/>
                <w:sz w:val="24"/>
                <w:szCs w:val="24"/>
                <w:highlight w:val="none"/>
              </w:rPr>
            </w:pPr>
            <w:r>
              <w:rPr>
                <w:rFonts w:hint="eastAsia" w:ascii="仿宋_GB2312" w:eastAsia="仿宋_GB2312" w:cs="仿宋_GB2312"/>
                <w:b/>
                <w:bCs/>
                <w:color w:val="auto"/>
                <w:sz w:val="24"/>
                <w:szCs w:val="24"/>
                <w:highlight w:val="none"/>
                <w:lang w:eastAsia="zh-CN"/>
              </w:rPr>
              <w:t>单位：万元</w:t>
            </w:r>
          </w:p>
        </w:tc>
      </w:tr>
      <w:tr>
        <w:tblPrEx>
          <w:tblCellMar>
            <w:top w:w="0" w:type="dxa"/>
            <w:left w:w="108" w:type="dxa"/>
            <w:bottom w:w="0" w:type="dxa"/>
            <w:right w:w="108" w:type="dxa"/>
          </w:tblCellMar>
        </w:tblPrEx>
        <w:trPr>
          <w:trHeight w:val="680" w:hRule="atLeast"/>
        </w:trPr>
        <w:tc>
          <w:tcPr>
            <w:tcW w:w="5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序号</w:t>
            </w:r>
          </w:p>
        </w:tc>
        <w:tc>
          <w:tcPr>
            <w:tcW w:w="8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地区</w:t>
            </w:r>
          </w:p>
        </w:tc>
        <w:tc>
          <w:tcPr>
            <w:tcW w:w="21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lang w:eastAsia="zh-CN"/>
              </w:rPr>
              <w:t>中央财政资金</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自治区财政资金</w:t>
            </w:r>
          </w:p>
        </w:tc>
        <w:tc>
          <w:tcPr>
            <w:tcW w:w="7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合计</w:t>
            </w:r>
          </w:p>
        </w:tc>
      </w:tr>
      <w:tr>
        <w:tblPrEx>
          <w:tblCellMar>
            <w:top w:w="0" w:type="dxa"/>
            <w:left w:w="108" w:type="dxa"/>
            <w:bottom w:w="0" w:type="dxa"/>
            <w:right w:w="108" w:type="dxa"/>
          </w:tblCellMar>
        </w:tblPrEx>
        <w:trPr>
          <w:trHeight w:val="400" w:hRule="atLeast"/>
        </w:trPr>
        <w:tc>
          <w:tcPr>
            <w:tcW w:w="5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auto"/>
                <w:sz w:val="22"/>
                <w:szCs w:val="22"/>
                <w:highlight w:val="none"/>
              </w:rPr>
            </w:pPr>
          </w:p>
        </w:tc>
        <w:tc>
          <w:tcPr>
            <w:tcW w:w="8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第一批</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第二批</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lang w:eastAsia="zh-CN"/>
              </w:rPr>
              <w:t>小计</w:t>
            </w: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auto"/>
                <w:sz w:val="22"/>
                <w:szCs w:val="22"/>
                <w:highlight w:val="none"/>
              </w:rPr>
            </w:pP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auto"/>
                <w:sz w:val="22"/>
                <w:szCs w:val="22"/>
                <w:highlight w:val="none"/>
              </w:rPr>
            </w:pPr>
          </w:p>
        </w:tc>
      </w:tr>
      <w:tr>
        <w:tblPrEx>
          <w:tblCellMar>
            <w:top w:w="0" w:type="dxa"/>
            <w:left w:w="108" w:type="dxa"/>
            <w:bottom w:w="0" w:type="dxa"/>
            <w:right w:w="108" w:type="dxa"/>
          </w:tblCellMar>
        </w:tblPrEx>
        <w:trPr>
          <w:trHeight w:val="624" w:hRule="atLeast"/>
        </w:trPr>
        <w:tc>
          <w:tcPr>
            <w:tcW w:w="13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全区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147027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26785</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173812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2000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175812</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乌鲁木齐市</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3054.91</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1615.09</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4670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4670</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克拉玛依市</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伊犁州</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11890.82</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-1770.82</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10120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10420</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塔城地区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1070.37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676.63</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1747</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1747</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5</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阿勒泰地区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1966.58</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415.42</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2382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2682</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6</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博州</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1410.92</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508.08</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1919</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1919</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7</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昌吉州</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1002.23</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999.77</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2002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2002</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8</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吐鲁番市</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2058.67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675.33</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2734</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2734</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9</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哈密市</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976.7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182.3</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1159</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1159</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10</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巴州</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5477.47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-563.47</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4914</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4914</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11</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阿克苏地区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15124.37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337.63</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15462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15762</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12</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克州</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7954.14</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4937.86</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12892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12892</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13</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喀什地区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57194.15</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7744.85</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64939</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700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65639</w:t>
            </w:r>
          </w:p>
        </w:tc>
      </w:tr>
      <w:tr>
        <w:tblPrEx>
          <w:tblCellMar>
            <w:top w:w="0" w:type="dxa"/>
            <w:left w:w="108" w:type="dxa"/>
            <w:bottom w:w="0" w:type="dxa"/>
            <w:right w:w="108" w:type="dxa"/>
          </w:tblCellMar>
        </w:tblPrEx>
        <w:trPr>
          <w:trHeight w:val="624" w:hRule="atLeast"/>
        </w:trPr>
        <w:tc>
          <w:tcPr>
            <w:tcW w:w="51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14</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和田地区</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37845.67</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11026.33</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48872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400</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49272</w:t>
            </w:r>
          </w:p>
        </w:tc>
      </w:tr>
    </w:tbl>
    <w:p>
      <w:pPr>
        <w:rPr>
          <w:color w:val="auto"/>
          <w:spacing w:val="-3"/>
          <w:sz w:val="30"/>
          <w:szCs w:val="30"/>
          <w:highlight w:val="none"/>
          <w:lang w:eastAsia="zh-CN"/>
        </w:rPr>
      </w:pPr>
    </w:p>
    <w:p>
      <w:pPr>
        <w:pStyle w:val="4"/>
        <w:spacing w:line="560" w:lineRule="exact"/>
        <w:ind w:firstLine="630" w:firstLineChars="200"/>
        <w:rPr>
          <w:rFonts w:ascii="仿宋_GB2312" w:hAnsi="仿宋_GB2312" w:eastAsia="仿宋_GB2312" w:cs="仿宋_GB2312"/>
          <w:b/>
          <w:color w:val="auto"/>
          <w:spacing w:val="-3"/>
          <w:highlight w:val="none"/>
          <w:lang w:eastAsia="zh-CN"/>
        </w:rPr>
      </w:pPr>
      <w:r>
        <w:rPr>
          <w:rFonts w:hint="eastAsia" w:ascii="仿宋_GB2312" w:hAnsi="仿宋_GB2312" w:eastAsia="仿宋_GB2312" w:cs="仿宋_GB2312"/>
          <w:b/>
          <w:color w:val="auto"/>
          <w:spacing w:val="-3"/>
          <w:highlight w:val="none"/>
          <w:lang w:val="en-US" w:eastAsia="zh-CN"/>
        </w:rPr>
        <w:t>2</w:t>
      </w:r>
      <w:r>
        <w:rPr>
          <w:rFonts w:hint="eastAsia" w:ascii="仿宋_GB2312" w:hAnsi="仿宋_GB2312" w:eastAsia="仿宋_GB2312" w:cs="仿宋_GB2312"/>
          <w:b/>
          <w:color w:val="auto"/>
          <w:spacing w:val="-3"/>
          <w:highlight w:val="none"/>
          <w:lang w:eastAsia="zh-CN"/>
        </w:rPr>
        <w:t>.自治区分解下达绩效目标情况</w:t>
      </w:r>
    </w:p>
    <w:p>
      <w:pPr>
        <w:adjustRightInd/>
        <w:spacing w:line="560" w:lineRule="exact"/>
        <w:ind w:firstLine="620" w:firstLineChars="200"/>
        <w:outlineLvl w:val="0"/>
        <w:rPr>
          <w:rFonts w:hint="eastAsia" w:ascii="仿宋_GB2312" w:hAnsi="仿宋_GB2312" w:eastAsia="仿宋_GB2312" w:cs="仿宋_GB2312"/>
          <w:color w:val="auto"/>
          <w:spacing w:val="-5"/>
          <w:sz w:val="32"/>
          <w:szCs w:val="32"/>
          <w:highlight w:val="none"/>
          <w:lang w:val="en" w:eastAsia="zh-CN"/>
        </w:rPr>
      </w:pPr>
      <w:r>
        <w:rPr>
          <w:rFonts w:hint="eastAsia" w:ascii="仿宋_GB2312" w:hAnsi="仿宋_GB2312" w:eastAsia="仿宋_GB2312" w:cs="仿宋_GB2312"/>
          <w:color w:val="auto"/>
          <w:spacing w:val="-5"/>
          <w:sz w:val="32"/>
          <w:szCs w:val="32"/>
          <w:highlight w:val="none"/>
          <w:lang w:val="en-US" w:eastAsia="zh-CN"/>
        </w:rPr>
        <w:t>根据《关于下达2024年中央财政医疗救助补助资金(城乡医疗救助部分)预算的通知》（新财社〔2024〕37号）</w:t>
      </w:r>
      <w:r>
        <w:rPr>
          <w:rFonts w:hint="eastAsia" w:ascii="仿宋_GB2312" w:hAnsi="仿宋_GB2312" w:eastAsia="仿宋_GB2312" w:cs="仿宋_GB2312"/>
          <w:color w:val="auto"/>
          <w:spacing w:val="-5"/>
          <w:sz w:val="32"/>
          <w:szCs w:val="32"/>
          <w:highlight w:val="none"/>
          <w:lang w:val="en" w:eastAsia="zh-CN"/>
        </w:rPr>
        <w:t>中随文下达的绩效目标表。</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r>
        <w:rPr>
          <w:rFonts w:hint="eastAsia" w:ascii="仿宋_GB2312" w:hAnsi="仿宋_GB2312" w:eastAsia="仿宋_GB2312" w:cs="仿宋_GB2312"/>
          <w:snapToGrid w:val="0"/>
          <w:color w:val="auto"/>
          <w:spacing w:val="-5"/>
          <w:sz w:val="32"/>
          <w:szCs w:val="32"/>
          <w:highlight w:val="none"/>
          <w:lang w:val="en-US" w:eastAsia="zh-CN" w:bidi="ar-SA"/>
        </w:rPr>
        <w:t>新疆区域绩效目标表如下：</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eastAsia" w:ascii="仿宋_GB2312" w:hAnsi="仿宋_GB2312" w:eastAsia="仿宋_GB2312" w:cs="仿宋_GB2312"/>
          <w:snapToGrid w:val="0"/>
          <w:color w:val="auto"/>
          <w:spacing w:val="-5"/>
          <w:sz w:val="32"/>
          <w:szCs w:val="32"/>
          <w:highlight w:val="none"/>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20" w:firstLineChars="200"/>
        <w:textAlignment w:val="baseline"/>
        <w:rPr>
          <w:rFonts w:hint="default" w:ascii="仿宋_GB2312" w:hAnsi="仿宋_GB2312" w:eastAsia="仿宋_GB2312" w:cs="仿宋_GB2312"/>
          <w:snapToGrid w:val="0"/>
          <w:color w:val="auto"/>
          <w:spacing w:val="-5"/>
          <w:sz w:val="32"/>
          <w:szCs w:val="32"/>
          <w:highlight w:val="none"/>
          <w:lang w:val="en-US" w:eastAsia="zh-CN" w:bidi="ar-SA"/>
        </w:rPr>
      </w:pPr>
    </w:p>
    <w:p>
      <w:pPr>
        <w:pStyle w:val="2"/>
        <w:ind w:left="0" w:leftChars="0" w:firstLine="0" w:firstLineChars="0"/>
        <w:rPr>
          <w:rFonts w:hint="eastAsia" w:ascii="仿宋_GB2312" w:hAnsi="仿宋_GB2312" w:eastAsia="仿宋_GB2312" w:cs="仿宋_GB2312"/>
          <w:color w:val="auto"/>
          <w:spacing w:val="-5"/>
          <w:sz w:val="32"/>
          <w:szCs w:val="32"/>
          <w:highlight w:val="none"/>
          <w:lang w:val="en" w:eastAsia="zh-CN"/>
        </w:rPr>
      </w:pPr>
    </w:p>
    <w:tbl>
      <w:tblPr>
        <w:tblStyle w:val="7"/>
        <w:tblW w:w="5000" w:type="pct"/>
        <w:tblInd w:w="0" w:type="dxa"/>
        <w:tblLayout w:type="autofit"/>
        <w:tblCellMar>
          <w:top w:w="0" w:type="dxa"/>
          <w:left w:w="108" w:type="dxa"/>
          <w:bottom w:w="0" w:type="dxa"/>
          <w:right w:w="108" w:type="dxa"/>
        </w:tblCellMar>
      </w:tblPr>
      <w:tblGrid>
        <w:gridCol w:w="1322"/>
        <w:gridCol w:w="951"/>
        <w:gridCol w:w="1514"/>
        <w:gridCol w:w="2163"/>
        <w:gridCol w:w="2572"/>
      </w:tblGrid>
      <w:tr>
        <w:tblPrEx>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tcPr>
          <w:p>
            <w:pPr>
              <w:jc w:val="center"/>
              <w:textAlignment w:val="top"/>
              <w:rPr>
                <w:rFonts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lang w:eastAsia="zh-CN"/>
              </w:rPr>
              <w:t>2024年中央财政医疗救助补助资金(城乡医疗救助部分)</w:t>
            </w:r>
          </w:p>
          <w:p>
            <w:pPr>
              <w:jc w:val="center"/>
              <w:textAlignment w:val="top"/>
              <w:rPr>
                <w:rFonts w:ascii="宋体" w:hAnsi="宋体" w:eastAsia="宋体" w:cs="宋体"/>
                <w:b/>
                <w:bCs/>
                <w:color w:val="auto"/>
                <w:sz w:val="32"/>
                <w:szCs w:val="32"/>
                <w:highlight w:val="none"/>
              </w:rPr>
            </w:pPr>
            <w:r>
              <w:rPr>
                <w:rFonts w:hint="eastAsia" w:ascii="仿宋_GB2312" w:hAnsi="仿宋_GB2312" w:eastAsia="仿宋_GB2312" w:cs="仿宋_GB2312"/>
                <w:b/>
                <w:bCs/>
                <w:color w:val="auto"/>
                <w:sz w:val="24"/>
                <w:szCs w:val="24"/>
                <w:highlight w:val="none"/>
                <w:lang w:eastAsia="zh-CN"/>
              </w:rPr>
              <w:t>区域绩效目标表</w:t>
            </w:r>
          </w:p>
        </w:tc>
      </w:tr>
      <w:tr>
        <w:tblPrEx>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b/>
                <w:bCs/>
                <w:color w:val="auto"/>
                <w:highlight w:val="none"/>
                <w:lang w:eastAsia="zh-CN"/>
              </w:rPr>
              <w:t>(2024年度)</w:t>
            </w:r>
          </w:p>
        </w:tc>
      </w:tr>
      <w:tr>
        <w:tblPrEx>
          <w:tblCellMar>
            <w:top w:w="0" w:type="dxa"/>
            <w:left w:w="108" w:type="dxa"/>
            <w:bottom w:w="0" w:type="dxa"/>
            <w:right w:w="108" w:type="dxa"/>
          </w:tblCellMar>
        </w:tblPrEx>
        <w:trPr>
          <w:trHeight w:val="33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36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省份</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新疆维吾尔自治区</w:t>
            </w:r>
          </w:p>
        </w:tc>
      </w:tr>
      <w:tr>
        <w:tblPrEx>
          <w:tblCellMar>
            <w:top w:w="0" w:type="dxa"/>
            <w:left w:w="108" w:type="dxa"/>
            <w:bottom w:w="0" w:type="dxa"/>
            <w:right w:w="108" w:type="dxa"/>
          </w:tblCellMar>
        </w:tblPrEx>
        <w:trPr>
          <w:trHeight w:val="320"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313" w:hRule="atLeast"/>
        </w:trPr>
        <w:tc>
          <w:tcPr>
            <w:tcW w:w="22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311"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eastAsia="仿宋_GB2312" w:cs="仿宋_GB2312"/>
                <w:color w:val="auto"/>
                <w:sz w:val="20"/>
                <w:szCs w:val="20"/>
                <w:highlight w:val="none"/>
                <w:lang w:val="en-US" w:eastAsia="zh-CN"/>
              </w:rPr>
            </w:pPr>
            <w:r>
              <w:rPr>
                <w:rFonts w:hint="eastAsia" w:ascii="仿宋_GB2312" w:eastAsia="仿宋_GB2312" w:cs="仿宋_GB2312"/>
                <w:color w:val="auto"/>
                <w:sz w:val="20"/>
                <w:szCs w:val="20"/>
                <w:highlight w:val="none"/>
                <w:lang w:val="en-US" w:eastAsia="zh-CN"/>
              </w:rPr>
              <w:t>175812</w:t>
            </w:r>
          </w:p>
        </w:tc>
      </w:tr>
      <w:tr>
        <w:tblPrEx>
          <w:tblCellMar>
            <w:top w:w="0" w:type="dxa"/>
            <w:left w:w="108" w:type="dxa"/>
            <w:bottom w:w="0" w:type="dxa"/>
            <w:right w:w="108" w:type="dxa"/>
          </w:tblCellMar>
        </w:tblPrEx>
        <w:trPr>
          <w:trHeight w:val="30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173812 </w:t>
            </w:r>
          </w:p>
        </w:tc>
      </w:tr>
      <w:tr>
        <w:tblPrEx>
          <w:tblCellMar>
            <w:top w:w="0" w:type="dxa"/>
            <w:left w:w="108" w:type="dxa"/>
            <w:bottom w:w="0" w:type="dxa"/>
            <w:right w:w="108" w:type="dxa"/>
          </w:tblCellMar>
        </w:tblPrEx>
        <w:trPr>
          <w:trHeight w:val="238"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eastAsia="仿宋_GB2312" w:cs="仿宋_GB2312"/>
                <w:color w:val="auto"/>
                <w:sz w:val="20"/>
                <w:szCs w:val="20"/>
                <w:highlight w:val="none"/>
                <w:lang w:val="en-US" w:eastAsia="zh-CN"/>
              </w:rPr>
            </w:pPr>
            <w:r>
              <w:rPr>
                <w:rFonts w:hint="eastAsia" w:ascii="仿宋_GB2312" w:eastAsia="仿宋_GB2312" w:cs="仿宋_GB2312"/>
                <w:color w:val="auto"/>
                <w:sz w:val="20"/>
                <w:szCs w:val="20"/>
                <w:highlight w:val="none"/>
                <w:lang w:val="en-US" w:eastAsia="zh-CN"/>
              </w:rPr>
              <w:t>2000</w:t>
            </w:r>
          </w:p>
        </w:tc>
      </w:tr>
      <w:tr>
        <w:tblPrEx>
          <w:tblCellMar>
            <w:top w:w="0" w:type="dxa"/>
            <w:left w:w="108" w:type="dxa"/>
            <w:bottom w:w="0" w:type="dxa"/>
            <w:right w:w="108" w:type="dxa"/>
          </w:tblCellMar>
        </w:tblPrEx>
        <w:trPr>
          <w:trHeight w:val="248"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eastAsia="仿宋_GB2312" w:cs="仿宋_GB2312"/>
                <w:color w:val="auto"/>
                <w:sz w:val="20"/>
                <w:szCs w:val="20"/>
                <w:highlight w:val="none"/>
                <w:lang w:val="en-US" w:eastAsia="zh-CN"/>
              </w:rPr>
            </w:pPr>
            <w:r>
              <w:rPr>
                <w:rFonts w:hint="eastAsia" w:asci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trHeight w:val="668" w:hRule="atLeast"/>
        </w:trPr>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75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77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680"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rFonts w:hint="eastAsia" w:ascii="仿宋_GB2312" w:hAnsi="仿宋_GB2312" w:eastAsia="仿宋_GB2312" w:cs="仿宋_GB2312"/>
          <w:color w:val="auto"/>
          <w:spacing w:val="-5"/>
          <w:sz w:val="32"/>
          <w:szCs w:val="32"/>
          <w:highlight w:val="none"/>
          <w:lang w:val="en" w:eastAsia="zh-CN"/>
        </w:rPr>
      </w:pPr>
      <w:r>
        <w:rPr>
          <w:rFonts w:hint="eastAsia" w:ascii="仿宋_GB2312" w:hAnsi="仿宋_GB2312" w:eastAsia="仿宋_GB2312" w:cs="仿宋_GB2312"/>
          <w:color w:val="auto"/>
          <w:spacing w:val="-5"/>
          <w:sz w:val="32"/>
          <w:szCs w:val="32"/>
          <w:highlight w:val="none"/>
          <w:lang w:val="en" w:eastAsia="zh-CN"/>
        </w:rPr>
        <w:br w:type="page"/>
      </w:r>
    </w:p>
    <w:p>
      <w:pPr>
        <w:adjustRightInd/>
        <w:spacing w:line="560" w:lineRule="exact"/>
        <w:ind w:firstLine="620" w:firstLineChars="200"/>
        <w:outlineLvl w:val="0"/>
        <w:rPr>
          <w:rFonts w:hint="eastAsia" w:ascii="仿宋_GB2312" w:hAnsi="仿宋_GB2312" w:eastAsia="仿宋_GB2312" w:cs="仿宋_GB2312"/>
          <w:b/>
          <w:bCs/>
          <w:color w:val="auto"/>
          <w:spacing w:val="-5"/>
          <w:sz w:val="32"/>
          <w:szCs w:val="32"/>
          <w:highlight w:val="none"/>
          <w:lang w:val="en-US" w:eastAsia="zh-CN"/>
        </w:rPr>
      </w:pPr>
      <w:r>
        <w:rPr>
          <w:rFonts w:hint="eastAsia" w:ascii="仿宋_GB2312" w:hAnsi="仿宋_GB2312" w:eastAsia="仿宋_GB2312" w:cs="仿宋_GB2312"/>
          <w:color w:val="auto"/>
          <w:spacing w:val="-5"/>
          <w:sz w:val="32"/>
          <w:szCs w:val="32"/>
          <w:highlight w:val="none"/>
          <w:lang w:eastAsia="zh-CN"/>
        </w:rPr>
        <w:t>自治区分解下达的14个地(州、市)绩效目标表，具体绩效目标如下:</w:t>
      </w:r>
    </w:p>
    <w:tbl>
      <w:tblPr>
        <w:tblStyle w:val="7"/>
        <w:tblW w:w="5000" w:type="pct"/>
        <w:tblInd w:w="0" w:type="dxa"/>
        <w:tblLayout w:type="autofit"/>
        <w:tblCellMar>
          <w:top w:w="0" w:type="dxa"/>
          <w:left w:w="108" w:type="dxa"/>
          <w:bottom w:w="0" w:type="dxa"/>
          <w:right w:w="108" w:type="dxa"/>
        </w:tblCellMar>
      </w:tblPr>
      <w:tblGrid>
        <w:gridCol w:w="1318"/>
        <w:gridCol w:w="951"/>
        <w:gridCol w:w="1406"/>
        <w:gridCol w:w="2480"/>
        <w:gridCol w:w="2367"/>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（乌鲁木齐市）</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1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1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乌鲁木齐市</w:t>
            </w:r>
          </w:p>
        </w:tc>
      </w:tr>
      <w:tr>
        <w:tblPrEx>
          <w:tblCellMar>
            <w:top w:w="0" w:type="dxa"/>
            <w:left w:w="108" w:type="dxa"/>
            <w:bottom w:w="0" w:type="dxa"/>
            <w:right w:w="108" w:type="dxa"/>
          </w:tblCellMar>
        </w:tblPrEx>
        <w:trPr>
          <w:trHeight w:val="410" w:hRule="atLeast"/>
        </w:trPr>
        <w:tc>
          <w:tcPr>
            <w:tcW w:w="21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1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3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4670</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3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4670 </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3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3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8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990" w:hRule="atLeast"/>
        </w:trPr>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78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8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15"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4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pStyle w:val="4"/>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19"/>
        <w:gridCol w:w="949"/>
        <w:gridCol w:w="1515"/>
        <w:gridCol w:w="2163"/>
        <w:gridCol w:w="2576"/>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（克拉玛依市）</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克拉玛依市</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642"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7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0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90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7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56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7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559"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2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7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395"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20"/>
        <w:gridCol w:w="951"/>
        <w:gridCol w:w="1514"/>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（伊犁州）</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伊犁州</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10420</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10120 </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300 </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990"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82"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83"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32"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37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5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7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0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lang w:eastAsia="zh-CN"/>
        </w:rPr>
      </w:pPr>
    </w:p>
    <w:p>
      <w:pPr>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19"/>
        <w:gridCol w:w="949"/>
        <w:gridCol w:w="1515"/>
        <w:gridCol w:w="2163"/>
        <w:gridCol w:w="2576"/>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（塔城地区 ）</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塔城地区</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1747</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1747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18"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67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605"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985"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Arial" w:eastAsia="仿宋_GB2312" w:cs="仿宋_GB2312"/>
                <w:snapToGrid w:val="0"/>
                <w:color w:val="auto"/>
                <w:sz w:val="20"/>
                <w:szCs w:val="20"/>
                <w:highlight w:val="none"/>
                <w:lang w:val="en-US" w:eastAsia="zh-CN" w:bidi="ar-SA"/>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9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5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39"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36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39"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3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pStyle w:val="4"/>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20"/>
        <w:gridCol w:w="951"/>
        <w:gridCol w:w="1514"/>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（阿勒泰地区）</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阿勒泰地区</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2682</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2382 </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300 </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805"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668"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39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39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7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358"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37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39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5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lang w:eastAsia="zh-CN"/>
        </w:rPr>
      </w:pPr>
    </w:p>
    <w:p>
      <w:pPr>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20"/>
        <w:gridCol w:w="951"/>
        <w:gridCol w:w="1514"/>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（博州）</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博州</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1919</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1919</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682"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9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9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12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5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37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680"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lang w:eastAsia="zh-CN"/>
        </w:rPr>
      </w:pPr>
    </w:p>
    <w:p>
      <w:pPr>
        <w:rPr>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20"/>
        <w:gridCol w:w="951"/>
        <w:gridCol w:w="1514"/>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（昌吉州）</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昌吉州</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54"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2002</w:t>
            </w:r>
          </w:p>
        </w:tc>
      </w:tr>
      <w:tr>
        <w:tblPrEx>
          <w:tblCellMar>
            <w:top w:w="0" w:type="dxa"/>
            <w:left w:w="108" w:type="dxa"/>
            <w:bottom w:w="0" w:type="dxa"/>
            <w:right w:w="108" w:type="dxa"/>
          </w:tblCellMar>
        </w:tblPrEx>
        <w:trPr>
          <w:trHeight w:val="454"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2002 </w:t>
            </w:r>
          </w:p>
        </w:tc>
      </w:tr>
      <w:tr>
        <w:tblPrEx>
          <w:tblCellMar>
            <w:top w:w="0" w:type="dxa"/>
            <w:left w:w="108" w:type="dxa"/>
            <w:bottom w:w="0" w:type="dxa"/>
            <w:right w:w="108" w:type="dxa"/>
          </w:tblCellMar>
        </w:tblPrEx>
        <w:trPr>
          <w:trHeight w:val="331"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25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67" w:hRule="atLeast"/>
        </w:trPr>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73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73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73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73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446"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7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364"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5"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32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252"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87" w:hRule="atLeast"/>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（吐鲁番市）</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吐鲁番市</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54"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319"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2734</w:t>
            </w:r>
          </w:p>
        </w:tc>
      </w:tr>
      <w:tr>
        <w:tblPrEx>
          <w:tblCellMar>
            <w:top w:w="0" w:type="dxa"/>
            <w:left w:w="108" w:type="dxa"/>
            <w:bottom w:w="0" w:type="dxa"/>
            <w:right w:w="108" w:type="dxa"/>
          </w:tblCellMar>
        </w:tblPrEx>
        <w:trPr>
          <w:trHeight w:val="28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2734</w:t>
            </w:r>
          </w:p>
        </w:tc>
      </w:tr>
      <w:tr>
        <w:tblPrEx>
          <w:tblCellMar>
            <w:top w:w="0" w:type="dxa"/>
            <w:left w:w="108" w:type="dxa"/>
            <w:bottom w:w="0" w:type="dxa"/>
            <w:right w:w="108" w:type="dxa"/>
          </w:tblCellMar>
        </w:tblPrEx>
        <w:trPr>
          <w:trHeight w:val="25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306"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680"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6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73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7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1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539"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76"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50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0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37"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p>
      <w:pPr>
        <w:pStyle w:val="9"/>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rPr>
                <w:rFonts w:ascii="仿宋_GB2312" w:eastAsia="仿宋_GB2312" w:cs="仿宋_GB2312"/>
                <w:b/>
                <w:bCs/>
                <w:color w:val="auto"/>
                <w:sz w:val="28"/>
                <w:szCs w:val="28"/>
                <w:highlight w:val="none"/>
                <w:lang w:eastAsia="zh-CN"/>
              </w:rPr>
            </w:pPr>
            <w:r>
              <w:rPr>
                <w:rFonts w:hint="eastAsia"/>
                <w:color w:val="auto"/>
                <w:highlight w:val="none"/>
              </w:rPr>
              <w:br w:type="page"/>
            </w: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（哈密市）</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哈密市</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1159</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1159</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68"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6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6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6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6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482"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5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5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5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7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58"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579"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p>
      <w:pPr>
        <w:rPr>
          <w:color w:val="auto"/>
          <w:highlight w:val="none"/>
        </w:rPr>
      </w:pPr>
    </w:p>
    <w:p>
      <w:pPr>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（巴州）</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巴州</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4914</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4914</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92"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618"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08"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2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396"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331"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（阿克苏地区）</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阿克苏地区</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15762</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15462</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300</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42"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93"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333"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333"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15"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8"/>
        <w:gridCol w:w="951"/>
        <w:gridCol w:w="1515"/>
        <w:gridCol w:w="2163"/>
        <w:gridCol w:w="2575"/>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（克州）</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克州</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12892</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12892</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96" w:hRule="atLeast"/>
        </w:trPr>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592"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58"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1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80"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15" w:hRule="atLeast"/>
        </w:trPr>
        <w:tc>
          <w:tcPr>
            <w:tcW w:w="7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rFonts w:hint="eastAsia" w:eastAsiaTheme="minorEastAsia"/>
          <w:color w:val="auto"/>
          <w:highlight w:val="none"/>
          <w:lang w:eastAsia="zh-CN"/>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（喀什地区）</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喀什地区</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65639</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64939</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700</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0 </w:t>
            </w:r>
          </w:p>
        </w:tc>
      </w:tr>
      <w:tr>
        <w:tblPrEx>
          <w:tblCellMar>
            <w:top w:w="0" w:type="dxa"/>
            <w:left w:w="108" w:type="dxa"/>
            <w:bottom w:w="0" w:type="dxa"/>
            <w:right w:w="108" w:type="dxa"/>
          </w:tblCellMar>
        </w:tblPrEx>
        <w:trPr>
          <w:trHeight w:val="755"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618"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483"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8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415"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tbl>
      <w:tblPr>
        <w:tblStyle w:val="7"/>
        <w:tblW w:w="5000" w:type="pct"/>
        <w:tblInd w:w="0" w:type="dxa"/>
        <w:tblLayout w:type="autofit"/>
        <w:tblCellMar>
          <w:top w:w="0" w:type="dxa"/>
          <w:left w:w="108" w:type="dxa"/>
          <w:bottom w:w="0" w:type="dxa"/>
          <w:right w:w="108" w:type="dxa"/>
        </w:tblCellMar>
      </w:tblPr>
      <w:tblGrid>
        <w:gridCol w:w="1319"/>
        <w:gridCol w:w="951"/>
        <w:gridCol w:w="1515"/>
        <w:gridCol w:w="2163"/>
        <w:gridCol w:w="2574"/>
      </w:tblGrid>
      <w:tr>
        <w:tblPrEx>
          <w:tblCellMar>
            <w:top w:w="0" w:type="dxa"/>
            <w:left w:w="108" w:type="dxa"/>
            <w:bottom w:w="0" w:type="dxa"/>
            <w:right w:w="108" w:type="dxa"/>
          </w:tblCellMar>
        </w:tblPrEx>
        <w:trPr>
          <w:trHeight w:val="8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中央财政医疗救助补助资金(城乡医疗救助部分)区域绩效目标表</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（和田地区）</w:t>
            </w:r>
          </w:p>
        </w:tc>
      </w:tr>
      <w:tr>
        <w:tblPrEx>
          <w:tblCellMar>
            <w:top w:w="0" w:type="dxa"/>
            <w:left w:w="108" w:type="dxa"/>
            <w:bottom w:w="0" w:type="dxa"/>
            <w:right w:w="108" w:type="dxa"/>
          </w:tblCellMar>
        </w:tblPrEx>
        <w:trPr>
          <w:trHeight w:val="380" w:hRule="atLeast"/>
        </w:trPr>
        <w:tc>
          <w:tcPr>
            <w:tcW w:w="5000" w:type="pct"/>
            <w:gridSpan w:val="5"/>
            <w:tcBorders>
              <w:top w:val="nil"/>
              <w:left w:val="nil"/>
              <w:bottom w:val="nil"/>
              <w:right w:val="nil"/>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(2024年度)</w:t>
            </w:r>
          </w:p>
        </w:tc>
      </w:tr>
      <w:tr>
        <w:tblPrEx>
          <w:tblCellMar>
            <w:top w:w="0" w:type="dxa"/>
            <w:left w:w="108" w:type="dxa"/>
            <w:bottom w:w="0" w:type="dxa"/>
            <w:right w:w="108" w:type="dxa"/>
          </w:tblCellMar>
        </w:tblPrEx>
        <w:trPr>
          <w:trHeight w:val="415"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项目名称</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医疗救助补助资金</w:t>
            </w:r>
          </w:p>
        </w:tc>
      </w:tr>
      <w:tr>
        <w:tblPrEx>
          <w:tblCellMar>
            <w:top w:w="0" w:type="dxa"/>
            <w:left w:w="108" w:type="dxa"/>
            <w:bottom w:w="0" w:type="dxa"/>
            <w:right w:w="108" w:type="dxa"/>
          </w:tblCellMar>
        </w:tblPrEx>
        <w:trPr>
          <w:trHeight w:val="40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地区</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和田地区</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省级财政部门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410" w:hRule="atLeast"/>
        </w:trPr>
        <w:tc>
          <w:tcPr>
            <w:tcW w:w="2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省级主管部门</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资金情况(万元)</w:t>
            </w: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年度金额：</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49272</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其中：中央资金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48872</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地方资金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400</w:t>
            </w:r>
          </w:p>
        </w:tc>
      </w:tr>
      <w:tr>
        <w:tblPrEx>
          <w:tblCellMar>
            <w:top w:w="0" w:type="dxa"/>
            <w:left w:w="108" w:type="dxa"/>
            <w:bottom w:w="0" w:type="dxa"/>
            <w:right w:w="108" w:type="dxa"/>
          </w:tblCellMar>
        </w:tblPrEx>
        <w:trPr>
          <w:trHeight w:val="41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 xml:space="preserve"> 其他资金</w:t>
            </w:r>
          </w:p>
        </w:tc>
        <w:tc>
          <w:tcPr>
            <w:tcW w:w="2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705" w:hRule="atLeast"/>
        </w:trPr>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年度总体目标</w:t>
            </w:r>
          </w:p>
        </w:tc>
        <w:tc>
          <w:tcPr>
            <w:tcW w:w="4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r>
      <w:tr>
        <w:tblPrEx>
          <w:tblCellMar>
            <w:top w:w="0" w:type="dxa"/>
            <w:left w:w="108" w:type="dxa"/>
            <w:bottom w:w="0" w:type="dxa"/>
            <w:right w:w="108" w:type="dxa"/>
          </w:tblCellMar>
        </w:tblPrEx>
        <w:trPr>
          <w:trHeight w:val="410" w:hRule="atLeast"/>
        </w:trPr>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绩效指标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一级指标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二级指标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三级指标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指标值</w:t>
            </w:r>
          </w:p>
        </w:tc>
      </w:tr>
      <w:tr>
        <w:tblPrEx>
          <w:tblCellMar>
            <w:top w:w="0" w:type="dxa"/>
            <w:left w:w="108" w:type="dxa"/>
            <w:bottom w:w="0" w:type="dxa"/>
            <w:right w:w="108" w:type="dxa"/>
          </w:tblCellMar>
        </w:tblPrEx>
        <w:trPr>
          <w:trHeight w:val="8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医疗救助对象人次规模</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符合救助条件的对象按规定纳入救助范围</w:t>
            </w:r>
          </w:p>
        </w:tc>
      </w:tr>
      <w:tr>
        <w:tblPrEx>
          <w:tblCellMar>
            <w:top w:w="0" w:type="dxa"/>
            <w:left w:w="108" w:type="dxa"/>
            <w:bottom w:w="0" w:type="dxa"/>
            <w:right w:w="108" w:type="dxa"/>
          </w:tblCellMar>
        </w:tblPrEx>
        <w:trPr>
          <w:trHeight w:val="95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重点救助对象政策范围内个人自付费用年度限额内住院救助比例</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≥70%</w:t>
            </w:r>
          </w:p>
        </w:tc>
      </w:tr>
      <w:tr>
        <w:tblPrEx>
          <w:tblCellMar>
            <w:top w:w="0" w:type="dxa"/>
            <w:left w:w="108" w:type="dxa"/>
            <w:bottom w:w="0" w:type="dxa"/>
            <w:right w:w="108" w:type="dxa"/>
          </w:tblCellMar>
        </w:tblPrEx>
        <w:trPr>
          <w:trHeight w:val="90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符合资助条件的农村低收入人口资助参保政策覆盖率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≥99%</w:t>
            </w:r>
          </w:p>
        </w:tc>
      </w:tr>
      <w:tr>
        <w:tblPrEx>
          <w:tblCellMar>
            <w:top w:w="0" w:type="dxa"/>
            <w:left w:w="108" w:type="dxa"/>
            <w:bottom w:w="0" w:type="dxa"/>
            <w:right w:w="108" w:type="dxa"/>
          </w:tblCellMar>
        </w:tblPrEx>
        <w:trPr>
          <w:trHeight w:val="1120"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医保综合监管能力</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按照《国家医疗保障局关于做好基金监管综合评价工作的通知》(医保发〔2022〕31号)进行综合评价</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lang w:eastAsia="zh-CN"/>
              </w:rPr>
            </w:pP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市域内“一站式”即时结算覆盖率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不低于上年</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城乡医疗救助政策知晓率</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困难群众看病就医方便程度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明显提高</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困难群众医疗费用负担</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有效缓解</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对健全社会救助体系的影响</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对健全医疗保障制度体系的作用</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成效明显</w:t>
            </w:r>
          </w:p>
        </w:tc>
      </w:tr>
      <w:tr>
        <w:tblPrEx>
          <w:tblCellMar>
            <w:top w:w="0" w:type="dxa"/>
            <w:left w:w="108" w:type="dxa"/>
            <w:bottom w:w="0" w:type="dxa"/>
            <w:right w:w="108" w:type="dxa"/>
          </w:tblCellMar>
        </w:tblPrEx>
        <w:trPr>
          <w:trHeight w:val="624" w:hRule="atLeast"/>
        </w:trPr>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服务对象满意度指标</w:t>
            </w:r>
          </w:p>
        </w:tc>
        <w:tc>
          <w:tcPr>
            <w:tcW w:w="1269"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救助对象对救助工作满意度</w:t>
            </w:r>
          </w:p>
        </w:tc>
        <w:tc>
          <w:tcPr>
            <w:tcW w:w="15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≥85%</w:t>
            </w:r>
          </w:p>
        </w:tc>
      </w:tr>
    </w:tbl>
    <w:p>
      <w:pPr>
        <w:rPr>
          <w:color w:val="auto"/>
          <w:highlight w:val="none"/>
        </w:rPr>
      </w:pPr>
    </w:p>
    <w:p>
      <w:pPr>
        <w:keepNext w:val="0"/>
        <w:keepLines w:val="0"/>
        <w:pageBreakBefore w:val="0"/>
        <w:widowControl/>
        <w:kinsoku w:val="0"/>
        <w:wordWrap/>
        <w:overflowPunct/>
        <w:topLinePunct w:val="0"/>
        <w:autoSpaceDE w:val="0"/>
        <w:autoSpaceDN w:val="0"/>
        <w:bidi w:val="0"/>
        <w:adjustRightInd w:val="0"/>
        <w:snapToGrid w:val="0"/>
        <w:ind w:firstLine="620" w:firstLineChars="200"/>
        <w:textAlignment w:val="baseline"/>
        <w:rPr>
          <w:rFonts w:hint="eastAsia" w:ascii="黑体" w:hAnsi="黑体" w:eastAsia="黑体" w:cs="黑体"/>
          <w:color w:val="auto"/>
          <w:spacing w:val="-5"/>
          <w:sz w:val="32"/>
          <w:szCs w:val="32"/>
          <w:highlight w:val="none"/>
        </w:rPr>
      </w:pPr>
    </w:p>
    <w:p>
      <w:pPr>
        <w:keepNext w:val="0"/>
        <w:keepLines w:val="0"/>
        <w:pageBreakBefore w:val="0"/>
        <w:widowControl/>
        <w:kinsoku w:val="0"/>
        <w:wordWrap/>
        <w:overflowPunct/>
        <w:topLinePunct w:val="0"/>
        <w:autoSpaceDE w:val="0"/>
        <w:autoSpaceDN w:val="0"/>
        <w:bidi w:val="0"/>
        <w:adjustRightInd w:val="0"/>
        <w:snapToGrid w:val="0"/>
        <w:ind w:firstLine="620" w:firstLineChars="200"/>
        <w:textAlignment w:val="baseline"/>
        <w:rPr>
          <w:rFonts w:ascii="黑体" w:hAnsi="黑体" w:eastAsia="黑体" w:cs="黑体"/>
          <w:color w:val="auto"/>
          <w:spacing w:val="-5"/>
          <w:sz w:val="32"/>
          <w:szCs w:val="32"/>
          <w:highlight w:val="none"/>
        </w:rPr>
      </w:pPr>
      <w:r>
        <w:rPr>
          <w:rFonts w:hint="eastAsia" w:ascii="黑体" w:hAnsi="黑体" w:eastAsia="黑体" w:cs="黑体"/>
          <w:color w:val="auto"/>
          <w:spacing w:val="-5"/>
          <w:sz w:val="32"/>
          <w:szCs w:val="32"/>
          <w:highlight w:val="none"/>
        </w:rPr>
        <w:t>二、绩效情况分析</w:t>
      </w:r>
    </w:p>
    <w:p>
      <w:pPr>
        <w:pStyle w:val="4"/>
        <w:numPr>
          <w:ilvl w:val="0"/>
          <w:numId w:val="2"/>
        </w:numPr>
        <w:spacing w:line="560" w:lineRule="exact"/>
        <w:ind w:firstLine="630" w:firstLineChars="200"/>
        <w:rPr>
          <w:rFonts w:ascii="楷体_GB2312" w:hAnsi="楷体_GB2312" w:eastAsia="楷体_GB2312" w:cs="楷体_GB2312"/>
          <w:b/>
          <w:bCs/>
          <w:color w:val="auto"/>
          <w:spacing w:val="-3"/>
          <w:highlight w:val="none"/>
          <w:lang w:eastAsia="zh-CN"/>
        </w:rPr>
      </w:pPr>
      <w:r>
        <w:rPr>
          <w:rFonts w:hint="eastAsia" w:ascii="楷体_GB2312" w:hAnsi="楷体_GB2312" w:eastAsia="楷体_GB2312" w:cs="楷体_GB2312"/>
          <w:b/>
          <w:bCs/>
          <w:color w:val="auto"/>
          <w:spacing w:val="-3"/>
          <w:highlight w:val="none"/>
          <w:lang w:eastAsia="zh-CN"/>
        </w:rPr>
        <w:t>资金投入情况分析</w:t>
      </w:r>
    </w:p>
    <w:p>
      <w:pPr>
        <w:kinsoku/>
        <w:wordWrap w:val="0"/>
        <w:autoSpaceDE/>
        <w:autoSpaceDN/>
        <w:spacing w:line="560" w:lineRule="exact"/>
        <w:ind w:firstLine="642" w:firstLineChars="200"/>
        <w:jc w:val="both"/>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 xml:space="preserve">1.资金到位情况分析 </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val="en-US" w:eastAsia="zh-CN"/>
        </w:rPr>
      </w:pPr>
      <w:r>
        <w:rPr>
          <w:rFonts w:hint="eastAsia" w:ascii="仿宋_GB2312" w:hAnsi="仿宋_GB2312" w:eastAsia="仿宋_GB2312" w:cs="仿宋_GB2312"/>
          <w:color w:val="auto"/>
          <w:spacing w:val="1"/>
          <w:highlight w:val="none"/>
          <w:lang w:eastAsia="zh-CN"/>
        </w:rPr>
        <w:t>2024年度</w:t>
      </w:r>
      <w:r>
        <w:rPr>
          <w:rFonts w:hint="eastAsia" w:ascii="仿宋_GB2312" w:hAnsi="仿宋_GB2312" w:eastAsia="仿宋_GB2312" w:cs="仿宋_GB2312"/>
          <w:color w:val="auto"/>
          <w:spacing w:val="1"/>
          <w:highlight w:val="none"/>
          <w:lang w:val="en-US" w:eastAsia="zh-CN"/>
        </w:rPr>
        <w:t>下达我区</w:t>
      </w:r>
      <w:r>
        <w:rPr>
          <w:rFonts w:hint="eastAsia" w:ascii="仿宋_GB2312" w:hAnsi="仿宋_GB2312" w:eastAsia="仿宋_GB2312" w:cs="仿宋_GB2312"/>
          <w:color w:val="auto"/>
          <w:spacing w:val="1"/>
          <w:highlight w:val="none"/>
          <w:lang w:eastAsia="zh-CN"/>
        </w:rPr>
        <w:t>医疗救助补助</w:t>
      </w:r>
      <w:r>
        <w:rPr>
          <w:rFonts w:hint="eastAsia" w:ascii="仿宋_GB2312" w:hAnsi="仿宋_GB2312" w:eastAsia="仿宋_GB2312" w:cs="仿宋_GB2312"/>
          <w:color w:val="auto"/>
          <w:spacing w:val="1"/>
          <w:highlight w:val="none"/>
          <w:lang w:val="en-US" w:eastAsia="zh-CN"/>
        </w:rPr>
        <w:t>资金共计175812万元，资金到位175812万元，到位率100%。其中，</w:t>
      </w:r>
      <w:r>
        <w:rPr>
          <w:rFonts w:hint="eastAsia" w:ascii="仿宋_GB2312" w:hAnsi="仿宋_GB2312" w:eastAsia="仿宋_GB2312" w:cs="仿宋_GB2312"/>
          <w:color w:val="auto"/>
          <w:sz w:val="32"/>
          <w:szCs w:val="32"/>
          <w:highlight w:val="none"/>
          <w:lang w:val="en-US" w:eastAsia="zh-CN"/>
        </w:rPr>
        <w:t>中央补助资金</w:t>
      </w:r>
      <w:r>
        <w:rPr>
          <w:rFonts w:hint="eastAsia" w:ascii="仿宋_GB2312" w:hAnsi="仿宋_GB2312" w:eastAsia="仿宋_GB2312" w:cs="仿宋_GB2312"/>
          <w:color w:val="auto"/>
          <w:spacing w:val="1"/>
          <w:highlight w:val="none"/>
          <w:lang w:eastAsia="zh-CN"/>
        </w:rPr>
        <w:t>17</w:t>
      </w:r>
      <w:r>
        <w:rPr>
          <w:rFonts w:hint="eastAsia" w:ascii="仿宋_GB2312" w:hAnsi="仿宋_GB2312" w:eastAsia="仿宋_GB2312" w:cs="仿宋_GB2312"/>
          <w:color w:val="auto"/>
          <w:spacing w:val="1"/>
          <w:highlight w:val="none"/>
          <w:lang w:val="en-US" w:eastAsia="zh-CN"/>
        </w:rPr>
        <w:t>3</w:t>
      </w:r>
      <w:r>
        <w:rPr>
          <w:rFonts w:hint="eastAsia" w:ascii="仿宋_GB2312" w:hAnsi="仿宋_GB2312" w:eastAsia="仿宋_GB2312" w:cs="仿宋_GB2312"/>
          <w:color w:val="auto"/>
          <w:spacing w:val="1"/>
          <w:highlight w:val="none"/>
          <w:lang w:eastAsia="zh-CN"/>
        </w:rPr>
        <w:t>812万元，</w:t>
      </w:r>
      <w:r>
        <w:rPr>
          <w:rFonts w:hint="eastAsia" w:ascii="仿宋_GB2312" w:hAnsi="仿宋_GB2312" w:eastAsia="仿宋_GB2312" w:cs="仿宋_GB2312"/>
          <w:color w:val="auto"/>
          <w:spacing w:val="1"/>
          <w:highlight w:val="none"/>
          <w:lang w:val="en-US" w:eastAsia="zh-CN"/>
        </w:rPr>
        <w:t>到位率100%；</w:t>
      </w:r>
      <w:r>
        <w:rPr>
          <w:rFonts w:hint="eastAsia" w:ascii="仿宋_GB2312" w:hAnsi="仿宋_GB2312" w:eastAsia="仿宋_GB2312" w:cs="仿宋_GB2312"/>
          <w:color w:val="auto"/>
          <w:spacing w:val="1"/>
          <w:highlight w:val="none"/>
          <w:lang w:eastAsia="zh-CN"/>
        </w:rPr>
        <w:t>自治区</w:t>
      </w:r>
      <w:r>
        <w:rPr>
          <w:rFonts w:hint="eastAsia" w:ascii="仿宋_GB2312" w:hAnsi="仿宋_GB2312" w:eastAsia="仿宋_GB2312" w:cs="仿宋_GB2312"/>
          <w:color w:val="auto"/>
          <w:sz w:val="32"/>
          <w:szCs w:val="32"/>
          <w:highlight w:val="none"/>
          <w:lang w:val="en-US" w:eastAsia="zh-CN"/>
        </w:rPr>
        <w:t>配套</w:t>
      </w:r>
      <w:r>
        <w:rPr>
          <w:rFonts w:hint="eastAsia" w:ascii="仿宋_GB2312" w:hAnsi="仿宋_GB2312" w:eastAsia="仿宋_GB2312" w:cs="仿宋_GB2312"/>
          <w:color w:val="auto"/>
          <w:spacing w:val="1"/>
          <w:highlight w:val="none"/>
          <w:lang w:eastAsia="zh-CN"/>
        </w:rPr>
        <w:t>资金2000万元，</w:t>
      </w:r>
      <w:r>
        <w:rPr>
          <w:rFonts w:hint="eastAsia" w:ascii="仿宋_GB2312" w:hAnsi="仿宋_GB2312" w:eastAsia="仿宋_GB2312" w:cs="仿宋_GB2312"/>
          <w:color w:val="auto"/>
          <w:spacing w:val="1"/>
          <w:highlight w:val="none"/>
          <w:lang w:val="en-US" w:eastAsia="zh-CN"/>
        </w:rPr>
        <w:t>到位率100%。</w:t>
      </w:r>
    </w:p>
    <w:p>
      <w:pPr>
        <w:pStyle w:val="4"/>
        <w:spacing w:line="560" w:lineRule="exact"/>
        <w:ind w:firstLine="646" w:firstLineChars="200"/>
        <w:jc w:val="both"/>
        <w:rPr>
          <w:rFonts w:hint="default" w:ascii="仿宋_GB2312" w:hAnsi="仿宋_GB2312" w:eastAsia="仿宋_GB2312" w:cs="仿宋_GB2312"/>
          <w:b/>
          <w:bCs/>
          <w:color w:val="auto"/>
          <w:spacing w:val="1"/>
          <w:highlight w:val="none"/>
          <w:lang w:val="en-US" w:eastAsia="zh-CN"/>
        </w:rPr>
      </w:pPr>
      <w:r>
        <w:rPr>
          <w:rFonts w:hint="eastAsia" w:ascii="仿宋_GB2312" w:hAnsi="仿宋_GB2312" w:eastAsia="仿宋_GB2312" w:cs="仿宋_GB2312"/>
          <w:b/>
          <w:bCs/>
          <w:color w:val="auto"/>
          <w:spacing w:val="1"/>
          <w:highlight w:val="none"/>
          <w:lang w:val="en-US" w:eastAsia="zh-CN"/>
        </w:rPr>
        <w:t>2.资金执行情况分析</w:t>
      </w:r>
    </w:p>
    <w:p>
      <w:pPr>
        <w:pStyle w:val="4"/>
        <w:spacing w:line="560" w:lineRule="exact"/>
        <w:ind w:firstLine="644" w:firstLineChars="200"/>
        <w:jc w:val="both"/>
        <w:rPr>
          <w:rFonts w:hint="eastAsia" w:ascii="仿宋_GB2312" w:hAnsi="仿宋_GB2312" w:eastAsia="仿宋_GB2312" w:cs="仿宋_GB2312"/>
          <w:color w:val="auto"/>
          <w:spacing w:val="1"/>
          <w:highlight w:val="none"/>
          <w:lang w:val="en-US" w:eastAsia="zh-CN"/>
        </w:rPr>
      </w:pPr>
      <w:r>
        <w:rPr>
          <w:rFonts w:hint="eastAsia" w:ascii="仿宋_GB2312" w:hAnsi="仿宋_GB2312" w:eastAsia="仿宋_GB2312" w:cs="仿宋_GB2312"/>
          <w:color w:val="auto"/>
          <w:spacing w:val="1"/>
          <w:highlight w:val="none"/>
          <w:lang w:val="en-US" w:eastAsia="zh-CN"/>
        </w:rPr>
        <w:t>截止2024年12月31日，用于医疗救助补助项目资金总计175812万元，实际执行171564.18万元，资金执行率97.58%。其中，中央补助资金预算173812万元，全年执行169564.18万元，执行率97.56%；自治区配套资金2000万元，全年执行2000万元，执行率100%。</w:t>
      </w:r>
    </w:p>
    <w:p>
      <w:pPr>
        <w:wordWrap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资金执行情况如下：</w:t>
      </w:r>
    </w:p>
    <w:p>
      <w:pPr>
        <w:rPr>
          <w:rFonts w:hint="default"/>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pPr>
        <w:pStyle w:val="9"/>
        <w:rPr>
          <w:color w:val="auto"/>
          <w:highlight w:val="none"/>
          <w:lang w:eastAsia="zh-CN"/>
        </w:rPr>
      </w:pPr>
    </w:p>
    <w:tbl>
      <w:tblPr>
        <w:tblStyle w:val="7"/>
        <w:tblW w:w="5559" w:type="pct"/>
        <w:tblInd w:w="-539" w:type="dxa"/>
        <w:tblLayout w:type="fixed"/>
        <w:tblCellMar>
          <w:top w:w="0" w:type="dxa"/>
          <w:left w:w="108" w:type="dxa"/>
          <w:bottom w:w="0" w:type="dxa"/>
          <w:right w:w="108" w:type="dxa"/>
        </w:tblCellMar>
      </w:tblPr>
      <w:tblGrid>
        <w:gridCol w:w="512"/>
        <w:gridCol w:w="875"/>
        <w:gridCol w:w="1038"/>
        <w:gridCol w:w="1150"/>
        <w:gridCol w:w="975"/>
        <w:gridCol w:w="625"/>
        <w:gridCol w:w="675"/>
        <w:gridCol w:w="700"/>
        <w:gridCol w:w="900"/>
        <w:gridCol w:w="1200"/>
        <w:gridCol w:w="825"/>
      </w:tblGrid>
      <w:tr>
        <w:tblPrEx>
          <w:tblCellMar>
            <w:top w:w="0" w:type="dxa"/>
            <w:left w:w="108" w:type="dxa"/>
            <w:bottom w:w="0" w:type="dxa"/>
            <w:right w:w="108" w:type="dxa"/>
          </w:tblCellMar>
        </w:tblPrEx>
        <w:trPr>
          <w:trHeight w:val="780" w:hRule="atLeast"/>
        </w:trPr>
        <w:tc>
          <w:tcPr>
            <w:tcW w:w="5000" w:type="pct"/>
            <w:gridSpan w:val="11"/>
            <w:tcBorders>
              <w:top w:val="nil"/>
              <w:left w:val="nil"/>
              <w:bottom w:val="nil"/>
              <w:right w:val="nil"/>
            </w:tcBorders>
            <w:shd w:val="clear" w:color="auto" w:fill="auto"/>
          </w:tcPr>
          <w:p>
            <w:pPr>
              <w:jc w:val="center"/>
              <w:textAlignment w:val="top"/>
              <w:rPr>
                <w:rFonts w:ascii="仿宋_GB2312" w:eastAsia="仿宋_GB2312" w:cs="仿宋_GB2312"/>
                <w:b/>
                <w:bCs/>
                <w:color w:val="auto"/>
                <w:sz w:val="28"/>
                <w:szCs w:val="28"/>
                <w:highlight w:val="none"/>
                <w:lang w:eastAsia="zh-CN"/>
              </w:rPr>
            </w:pPr>
            <w:r>
              <w:rPr>
                <w:rFonts w:hint="eastAsia" w:ascii="仿宋_GB2312" w:eastAsia="仿宋_GB2312" w:cs="仿宋_GB2312"/>
                <w:b/>
                <w:bCs/>
                <w:color w:val="auto"/>
                <w:sz w:val="28"/>
                <w:szCs w:val="28"/>
                <w:highlight w:val="none"/>
                <w:lang w:eastAsia="zh-CN"/>
              </w:rPr>
              <w:t>2024年新疆维吾尔自治区医疗救助补助资金（城乡医疗救助部分）</w:t>
            </w:r>
            <w:r>
              <w:rPr>
                <w:rFonts w:hint="eastAsia" w:ascii="仿宋_GB2312" w:eastAsia="仿宋_GB2312" w:cs="仿宋_GB2312"/>
                <w:b/>
                <w:bCs/>
                <w:color w:val="auto"/>
                <w:sz w:val="28"/>
                <w:szCs w:val="28"/>
                <w:highlight w:val="none"/>
                <w:lang w:eastAsia="zh-CN"/>
              </w:rPr>
              <w:br w:type="textWrapping"/>
            </w:r>
            <w:r>
              <w:rPr>
                <w:rFonts w:hint="eastAsia" w:ascii="仿宋_GB2312" w:eastAsia="仿宋_GB2312" w:cs="仿宋_GB2312"/>
                <w:b/>
                <w:bCs/>
                <w:color w:val="auto"/>
                <w:sz w:val="28"/>
                <w:szCs w:val="28"/>
                <w:highlight w:val="none"/>
                <w:lang w:eastAsia="zh-CN"/>
              </w:rPr>
              <w:t>资金执行情况</w:t>
            </w:r>
          </w:p>
        </w:tc>
      </w:tr>
      <w:tr>
        <w:tblPrEx>
          <w:tblCellMar>
            <w:top w:w="0" w:type="dxa"/>
            <w:left w:w="108" w:type="dxa"/>
            <w:bottom w:w="0" w:type="dxa"/>
            <w:right w:w="108" w:type="dxa"/>
          </w:tblCellMar>
        </w:tblPrEx>
        <w:trPr>
          <w:trHeight w:val="480" w:hRule="atLeast"/>
        </w:trPr>
        <w:tc>
          <w:tcPr>
            <w:tcW w:w="5000" w:type="pct"/>
            <w:gridSpan w:val="11"/>
            <w:tcBorders>
              <w:top w:val="nil"/>
              <w:left w:val="nil"/>
              <w:bottom w:val="nil"/>
              <w:right w:val="nil"/>
            </w:tcBorders>
            <w:shd w:val="clear" w:color="auto" w:fill="auto"/>
            <w:vAlign w:val="center"/>
          </w:tcPr>
          <w:p>
            <w:pPr>
              <w:jc w:val="right"/>
              <w:textAlignment w:val="center"/>
              <w:rPr>
                <w:rFonts w:ascii="仿宋_GB2312" w:eastAsia="仿宋_GB2312" w:cs="仿宋_GB2312"/>
                <w:b/>
                <w:bCs/>
                <w:color w:val="auto"/>
                <w:sz w:val="24"/>
                <w:szCs w:val="24"/>
                <w:highlight w:val="none"/>
              </w:rPr>
            </w:pPr>
            <w:r>
              <w:rPr>
                <w:rFonts w:hint="eastAsia" w:ascii="仿宋_GB2312" w:eastAsia="仿宋_GB2312" w:cs="仿宋_GB2312"/>
                <w:b/>
                <w:bCs/>
                <w:color w:val="auto"/>
                <w:sz w:val="24"/>
                <w:szCs w:val="24"/>
                <w:highlight w:val="none"/>
                <w:lang w:eastAsia="zh-CN"/>
              </w:rPr>
              <w:t>单位：万元</w:t>
            </w:r>
          </w:p>
        </w:tc>
      </w:tr>
      <w:tr>
        <w:tblPrEx>
          <w:tblCellMar>
            <w:top w:w="0" w:type="dxa"/>
            <w:left w:w="108" w:type="dxa"/>
            <w:bottom w:w="0" w:type="dxa"/>
            <w:right w:w="108" w:type="dxa"/>
          </w:tblCellMar>
        </w:tblPrEx>
        <w:trPr>
          <w:trHeight w:val="68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序号</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地区</w:t>
            </w:r>
          </w:p>
        </w:tc>
        <w:tc>
          <w:tcPr>
            <w:tcW w:w="16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highlight w:val="none"/>
              </w:rPr>
            </w:pPr>
            <w:r>
              <w:rPr>
                <w:rFonts w:hint="eastAsia" w:ascii="仿宋_GB2312" w:eastAsia="仿宋_GB2312" w:cs="仿宋_GB2312"/>
                <w:b/>
                <w:bCs/>
                <w:color w:val="auto"/>
                <w:highlight w:val="none"/>
                <w:lang w:eastAsia="zh-CN"/>
              </w:rPr>
              <w:t>中央财政资金</w:t>
            </w:r>
          </w:p>
        </w:tc>
        <w:tc>
          <w:tcPr>
            <w:tcW w:w="10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自治区财政资金</w:t>
            </w: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预算金额合计</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执行数合计</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总体执行率</w:t>
            </w:r>
          </w:p>
        </w:tc>
      </w:tr>
      <w:tr>
        <w:tblPrEx>
          <w:tblCellMar>
            <w:top w:w="0" w:type="dxa"/>
            <w:left w:w="108" w:type="dxa"/>
            <w:bottom w:w="0" w:type="dxa"/>
            <w:right w:w="108" w:type="dxa"/>
          </w:tblCellMar>
        </w:tblPrEx>
        <w:trPr>
          <w:trHeight w:val="4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auto"/>
                <w:sz w:val="20"/>
                <w:szCs w:val="20"/>
                <w:highlight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auto"/>
                <w:sz w:val="20"/>
                <w:szCs w:val="20"/>
                <w:highlight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预算金额</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执行数</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执行率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预算金额</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执行数</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rPr>
              <w:t>执行率</w:t>
            </w: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auto"/>
                <w:sz w:val="20"/>
                <w:szCs w:val="20"/>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auto"/>
                <w:sz w:val="20"/>
                <w:szCs w:val="20"/>
                <w:highlight w:val="none"/>
              </w:rPr>
            </w:pP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auto"/>
                <w:sz w:val="20"/>
                <w:szCs w:val="20"/>
                <w:highlight w:val="none"/>
              </w:rPr>
            </w:pPr>
          </w:p>
        </w:tc>
      </w:tr>
      <w:tr>
        <w:tblPrEx>
          <w:tblCellMar>
            <w:top w:w="0" w:type="dxa"/>
            <w:left w:w="108" w:type="dxa"/>
            <w:bottom w:w="0" w:type="dxa"/>
            <w:right w:w="108" w:type="dxa"/>
          </w:tblCellMar>
        </w:tblPrEx>
        <w:trPr>
          <w:trHeight w:val="567" w:hRule="atLeast"/>
        </w:trPr>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highlight w:val="none"/>
              </w:rPr>
            </w:pPr>
            <w:r>
              <w:rPr>
                <w:rFonts w:hint="eastAsia" w:ascii="仿宋_GB2312" w:eastAsia="仿宋_GB2312" w:cs="仿宋_GB2312"/>
                <w:color w:val="auto"/>
                <w:highlight w:val="none"/>
                <w:lang w:eastAsia="zh-CN"/>
              </w:rPr>
              <w:t>全区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173812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169564.18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97.56%</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2000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2000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175812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171564.18</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b w:val="0"/>
                <w:bCs w:val="0"/>
                <w:color w:val="auto"/>
                <w:sz w:val="20"/>
                <w:szCs w:val="21"/>
                <w:highlight w:val="none"/>
              </w:rPr>
            </w:pPr>
            <w:r>
              <w:rPr>
                <w:rFonts w:hint="eastAsia" w:ascii="仿宋_GB2312" w:eastAsia="仿宋_GB2312" w:cs="仿宋_GB2312"/>
                <w:b w:val="0"/>
                <w:bCs w:val="0"/>
                <w:color w:val="auto"/>
                <w:sz w:val="20"/>
                <w:szCs w:val="21"/>
                <w:highlight w:val="none"/>
                <w:lang w:eastAsia="zh-CN"/>
              </w:rPr>
              <w:t>97.58%</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乌鲁木齐市</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4670</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4336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92.85%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4670</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4336</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92.85%</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克拉玛依市</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伊犁州</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10120</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10120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10420</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10420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塔城地区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1747</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1747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1747</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1747</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阿勒泰地区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2382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2382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2682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2682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6</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博州</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1919</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1919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1919</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1919</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7</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昌吉州</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2002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2002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2002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2002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8</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吐鲁番市</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2734</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2734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2734</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2734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9</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哈密市</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1159</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1159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1159</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1159</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巴州</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4914</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4484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91.25%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4914</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4484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91.25%</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11</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阿克苏地区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15462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15462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300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15762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15762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克州</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12892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12892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12892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12892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喀什地区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64939</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64939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700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700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65639</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65639</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r>
      <w:tr>
        <w:tblPrEx>
          <w:tblCellMar>
            <w:top w:w="0" w:type="dxa"/>
            <w:left w:w="108" w:type="dxa"/>
            <w:bottom w:w="0" w:type="dxa"/>
            <w:right w:w="108" w:type="dxa"/>
          </w:tblCellMar>
        </w:tblPrEx>
        <w:trPr>
          <w:trHeight w:val="567"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14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bottom"/>
          </w:tcPr>
          <w:p>
            <w:pPr>
              <w:textAlignment w:val="bottom"/>
              <w:rPr>
                <w:rFonts w:ascii="仿宋_GB2312" w:eastAsia="仿宋_GB2312" w:cs="仿宋_GB2312"/>
                <w:color w:val="auto"/>
                <w:highlight w:val="none"/>
              </w:rPr>
            </w:pPr>
            <w:r>
              <w:rPr>
                <w:rFonts w:hint="eastAsia" w:ascii="仿宋_GB2312" w:eastAsia="仿宋_GB2312" w:cs="仿宋_GB2312"/>
                <w:color w:val="auto"/>
                <w:highlight w:val="none"/>
                <w:lang w:eastAsia="zh-CN"/>
              </w:rPr>
              <w:t>和田地区</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48872</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45388.18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92.87%</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49272</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45788.18</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textAlignment w:val="bottom"/>
              <w:rPr>
                <w:rFonts w:ascii="仿宋_GB2312" w:eastAsia="仿宋_GB2312" w:cs="仿宋_GB2312"/>
                <w:color w:val="auto"/>
                <w:sz w:val="20"/>
                <w:highlight w:val="none"/>
              </w:rPr>
            </w:pPr>
            <w:r>
              <w:rPr>
                <w:rFonts w:hint="eastAsia" w:ascii="仿宋_GB2312" w:eastAsia="仿宋_GB2312" w:cs="仿宋_GB2312"/>
                <w:color w:val="auto"/>
                <w:sz w:val="20"/>
                <w:highlight w:val="none"/>
                <w:lang w:eastAsia="zh-CN"/>
              </w:rPr>
              <w:t>92.93%</w:t>
            </w:r>
          </w:p>
        </w:tc>
      </w:tr>
    </w:tbl>
    <w:p>
      <w:pPr>
        <w:pStyle w:val="9"/>
        <w:spacing w:after="0" w:line="560" w:lineRule="exact"/>
        <w:rPr>
          <w:rFonts w:hint="eastAsia" w:eastAsiaTheme="minorEastAsia"/>
          <w:color w:val="auto"/>
          <w:spacing w:val="9"/>
          <w:sz w:val="30"/>
          <w:szCs w:val="30"/>
          <w:highlight w:val="none"/>
          <w:lang w:eastAsia="zh-CN"/>
        </w:rPr>
      </w:pPr>
    </w:p>
    <w:p>
      <w:pPr>
        <w:pStyle w:val="4"/>
        <w:numPr>
          <w:ilvl w:val="0"/>
          <w:numId w:val="2"/>
        </w:numPr>
        <w:spacing w:line="560" w:lineRule="exact"/>
        <w:ind w:firstLine="630" w:firstLineChars="200"/>
        <w:rPr>
          <w:rFonts w:ascii="楷体_GB2312" w:hAnsi="楷体_GB2312" w:eastAsia="楷体_GB2312" w:cs="楷体_GB2312"/>
          <w:b/>
          <w:bCs/>
          <w:color w:val="auto"/>
          <w:spacing w:val="-3"/>
          <w:highlight w:val="none"/>
          <w:lang w:eastAsia="zh-CN"/>
        </w:rPr>
      </w:pPr>
      <w:r>
        <w:rPr>
          <w:rFonts w:hint="eastAsia" w:ascii="楷体_GB2312" w:hAnsi="楷体_GB2312" w:eastAsia="楷体_GB2312" w:cs="楷体_GB2312"/>
          <w:b/>
          <w:bCs/>
          <w:color w:val="auto"/>
          <w:spacing w:val="-3"/>
          <w:highlight w:val="none"/>
          <w:lang w:eastAsia="zh-CN"/>
        </w:rPr>
        <w:t>资金管理情况分析</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按照《国务院办公厅关于健全重特大疾病医疗保险和救助制度的意见》（国办发〔2021〕42号）要求，制定了《关于健全重特大疾病医疗保险和救助制度的实施意见》（新政办发〔2022〕40号）和关于印发《新疆维吾尔自治区医疗救助经办管理规程(试行)》（新医保规〔2023〕4号）。具体做法是：一是要求各级医保经办机构加强内部管理，医疗救助基金单独建账、独立核算、专款专用，提高医疗救助补助资金使用效率；二是严格落实医疗保障待遇清单制度，切实做好基金监管，做好费用监控、稽查审核；三是采取预警监测管理、绩效考核评价等方式对项目进行监控，确保项目在管理可控范围内顺利实施；四是做到专款专用、及时拨付、规范支付，确保医疗救助补助资金项目顺利实施。</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资金分配科学性</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按照《关于修订〈新疆维吾尔自治区医疗救助补助资金管理办法〉的通知》(新财规(2022〕11号)要求，</w:t>
      </w:r>
      <w:r>
        <w:rPr>
          <w:rFonts w:hint="eastAsia" w:ascii="仿宋_GB2312" w:hAnsi="仿宋_GB2312" w:eastAsia="仿宋_GB2312" w:cs="仿宋_GB2312"/>
          <w:color w:val="auto"/>
          <w:highlight w:val="none"/>
          <w:lang w:val="en-US" w:eastAsia="zh-CN"/>
        </w:rPr>
        <w:t>自治区财政厅会同自治区医疗保障局</w:t>
      </w:r>
      <w:r>
        <w:rPr>
          <w:rFonts w:hint="eastAsia" w:ascii="仿宋_GB2312" w:hAnsi="仿宋_GB2312" w:eastAsia="仿宋_GB2312" w:cs="仿宋_GB2312"/>
          <w:color w:val="auto"/>
          <w:highlight w:val="none"/>
          <w:lang w:eastAsia="zh-CN"/>
        </w:rPr>
        <w:t>合理安排本级财政医疗救助资金，制定资金分配方案，按因素分配法，主要考虑城乡医疗救助的需求因素，并使用财力调节系数和绩效调节系数进行适当调节，将城乡医疗救助资金分配至各地（州、市）。严格按照转移支付管理制度以及资金管理办法规定的范围和标准科学分配资金。</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资金下达及时性</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2023年12月，自治区《关于提前下达2024年自治区财政医疗救助补助资金预算的通知》（新财社〔2023〕199号）分解下达自治区资金2000万元；自治区《关于提前下达2024年中央财政医疗救助补助资金预算的通知》（新财社〔2023〕190号）分解下达中央资金147027万元；2024年5月，自治区《关于下达2024年中央财政医疗救助补助资金(城乡医疗救助部分)预算的通知》（新财社〔2024〕37号）分解下达中央资金26785万元。自治区医疗保障局</w:t>
      </w:r>
      <w:r>
        <w:rPr>
          <w:rFonts w:hint="eastAsia" w:ascii="仿宋_GB2312" w:hAnsi="仿宋_GB2312" w:eastAsia="仿宋_GB2312" w:cs="仿宋_GB2312"/>
          <w:color w:val="auto"/>
          <w:highlight w:val="none"/>
          <w:lang w:eastAsia="zh-CN"/>
        </w:rPr>
        <w:t>严格按照预算法及其实施条例、转移支付管理制度规定以及资金管理办法规定的时限要求及时分解下达。</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资金拨付合规性</w:t>
      </w:r>
    </w:p>
    <w:p>
      <w:pPr>
        <w:pStyle w:val="4"/>
        <w:spacing w:line="560" w:lineRule="exact"/>
        <w:ind w:firstLine="640" w:firstLineChars="20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按照《关于修订〈新疆维吾尔自治区医疗救助补助资金管理办法〉的通知》(新财规(2022〕11号)要求，</w:t>
      </w:r>
      <w:r>
        <w:rPr>
          <w:rFonts w:hint="eastAsia" w:ascii="仿宋_GB2312" w:hAnsi="仿宋_GB2312" w:eastAsia="仿宋_GB2312" w:cs="仿宋_GB2312"/>
          <w:color w:val="auto"/>
          <w:highlight w:val="none"/>
          <w:lang w:val="en-US" w:eastAsia="zh-CN"/>
        </w:rPr>
        <w:t>自治区医疗保障局</w:t>
      </w:r>
      <w:r>
        <w:rPr>
          <w:rFonts w:hint="eastAsia" w:ascii="仿宋_GB2312" w:hAnsi="仿宋_GB2312" w:eastAsia="仿宋_GB2312" w:cs="仿宋_GB2312"/>
          <w:color w:val="auto"/>
          <w:highlight w:val="none"/>
          <w:lang w:eastAsia="zh-CN"/>
        </w:rPr>
        <w:t>严格按照规定分配资金，提出资金分配方案报财政厅主管业务处室审核后，报请自治区人民政府研究财政经费专题会议审核，审核通过后印发资金拨付文件。</w:t>
      </w:r>
      <w:r>
        <w:rPr>
          <w:rFonts w:hint="eastAsia" w:ascii="仿宋_GB2312" w:hAnsi="仿宋_GB2312" w:eastAsia="仿宋_GB2312" w:cs="仿宋_GB2312"/>
          <w:color w:val="auto"/>
          <w:highlight w:val="none"/>
          <w:lang w:val="en-US" w:eastAsia="zh-CN"/>
        </w:rPr>
        <w:t>各级医保部门</w:t>
      </w:r>
      <w:r>
        <w:rPr>
          <w:rFonts w:hint="eastAsia" w:ascii="仿宋_GB2312" w:hAnsi="仿宋_GB2312" w:eastAsia="仿宋_GB2312" w:cs="仿宋_GB2312"/>
          <w:color w:val="auto"/>
          <w:highlight w:val="none"/>
          <w:lang w:eastAsia="zh-CN"/>
        </w:rPr>
        <w:t>遵循“谁使用、谁负责”责任机制，加强专项经费管理，</w:t>
      </w:r>
      <w:r>
        <w:rPr>
          <w:rFonts w:hint="eastAsia" w:ascii="仿宋_GB2312" w:hAnsi="仿宋_GB2312" w:eastAsia="仿宋_GB2312" w:cs="仿宋_GB2312"/>
          <w:color w:val="auto"/>
          <w:highlight w:val="none"/>
          <w:lang w:val="en-US" w:eastAsia="zh-CN"/>
        </w:rPr>
        <w:t>同时</w:t>
      </w:r>
      <w:r>
        <w:rPr>
          <w:rFonts w:hint="eastAsia" w:ascii="仿宋_GB2312" w:hAnsi="仿宋_GB2312" w:eastAsia="仿宋_GB2312" w:cs="仿宋_GB2312"/>
          <w:color w:val="auto"/>
          <w:highlight w:val="none"/>
          <w:lang w:eastAsia="zh-CN"/>
        </w:rPr>
        <w:t>定期做好资金绩效监控，提高预算管理水平，加强资金跟踪监管。各级财政部门严格按照国库集中支付制度有关规定支付资金，未出现违规将资金从国库转入财政专户或支付到预算单位实有资金账户等问题。</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资金使用规范性</w:t>
      </w:r>
    </w:p>
    <w:p>
      <w:pPr>
        <w:pStyle w:val="4"/>
        <w:spacing w:line="560" w:lineRule="exact"/>
        <w:ind w:firstLine="640" w:firstLineChars="200"/>
        <w:rPr>
          <w:rFonts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自治区医疗保障局严格执行财政部 国家卫生健康委 国家保局关于修订《中央财政医疗救助补助资金管理办法》的通知（财社〔2024〕26号）及省级配套政策，保障了资金合规高效利用。严格执行医疗保障待遇清单制度，明确各统筹地区不得自行或用变通的方法擅自扩大医疗救助基金保障范围。</w:t>
      </w:r>
      <w:r>
        <w:rPr>
          <w:rFonts w:hint="eastAsia" w:ascii="仿宋_GB2312" w:hAnsi="仿宋_GB2312" w:eastAsia="仿宋_GB2312" w:cs="仿宋_GB2312"/>
          <w:color w:val="auto"/>
          <w:highlight w:val="none"/>
          <w:lang w:eastAsia="zh-CN"/>
        </w:rPr>
        <w:t>严格按照下达预算的科目和项目执行，未出现截留、挤占、挪用或擅自调整等问题，资金使用规范。</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资金执行准确性</w:t>
      </w:r>
    </w:p>
    <w:p>
      <w:pPr>
        <w:pStyle w:val="4"/>
        <w:spacing w:line="560" w:lineRule="exact"/>
        <w:ind w:firstLine="640" w:firstLineChars="200"/>
        <w:jc w:val="both"/>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是按照《关于健全重特大疾病医疗保险和救助制度的实施意见》（新政办发〔2022〕40号）要求，医疗救助制度公平覆盖医疗费用负担较重的困难职工和城乡居民,根据医疗救助对象类别实施分类救助。自治区医疗保障局会同相关部门逐级审核被救助对象名单，严格按照转移支付管理制度规定以及医疗救助补助资金管理办法规定，实施医疗救助；二是制定印发《关于修订〈新疆维吾尔自治区医疗救助补助资金管理办法〉的通知》(新财规(2022〕11号)，督促抓好医疗救助补助资金项目实施质量及资金拨付进度，抓好资金监管，资金执行准确。</w:t>
      </w:r>
    </w:p>
    <w:p>
      <w:pPr>
        <w:pStyle w:val="4"/>
        <w:numPr>
          <w:ilvl w:val="0"/>
          <w:numId w:val="3"/>
        </w:numPr>
        <w:spacing w:line="560" w:lineRule="exact"/>
        <w:ind w:left="420" w:leftChars="200"/>
        <w:rPr>
          <w:rFonts w:hint="eastAsia"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预算绩效管理情况</w:t>
      </w:r>
    </w:p>
    <w:p>
      <w:pPr>
        <w:pStyle w:val="4"/>
        <w:spacing w:line="560" w:lineRule="exact"/>
        <w:ind w:firstLine="640" w:firstLineChars="200"/>
        <w:jc w:val="both"/>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按照《中共中央国务院关于全面实施预算绩效管理的意见》、《关于加强和规范自治区本级项目支出“全过程”预算绩效管理结果应用的通知》（新财预〔2022〕57号）等要求，自治区</w:t>
      </w:r>
      <w:r>
        <w:rPr>
          <w:rFonts w:hint="eastAsia" w:ascii="仿宋_GB2312" w:hAnsi="仿宋_GB2312" w:eastAsia="仿宋_GB2312" w:cs="仿宋_GB2312"/>
          <w:color w:val="auto"/>
          <w:highlight w:val="none"/>
          <w:lang w:val="en-US" w:eastAsia="zh-CN"/>
        </w:rPr>
        <w:t>医疗保障局</w:t>
      </w:r>
      <w:r>
        <w:rPr>
          <w:rFonts w:hint="eastAsia" w:ascii="仿宋_GB2312" w:hAnsi="仿宋_GB2312" w:eastAsia="仿宋_GB2312" w:cs="仿宋_GB2312"/>
          <w:color w:val="auto"/>
          <w:highlight w:val="none"/>
          <w:lang w:eastAsia="zh-CN"/>
        </w:rPr>
        <w:t>强化资金使用监管，严格执行有关财经制度，进一步加强预算绩效管理，预算执行中做到绩效监控，预算执行完做好绩效评价，财政资金使用效益充分提高，资金安全规范使用，年度绩效目标如期实现。</w:t>
      </w:r>
    </w:p>
    <w:p>
      <w:pPr>
        <w:pStyle w:val="4"/>
        <w:numPr>
          <w:ilvl w:val="0"/>
          <w:numId w:val="3"/>
        </w:numPr>
        <w:spacing w:line="560" w:lineRule="exact"/>
        <w:ind w:left="420" w:leftChars="200"/>
        <w:rPr>
          <w:rFonts w:ascii="仿宋_GB2312" w:hAnsi="仿宋_GB2312" w:eastAsia="仿宋_GB2312" w:cs="仿宋_GB2312"/>
          <w:b/>
          <w:bCs/>
          <w:color w:val="auto"/>
          <w:spacing w:val="-3"/>
          <w:highlight w:val="none"/>
          <w:lang w:eastAsia="zh-CN"/>
        </w:rPr>
      </w:pPr>
      <w:r>
        <w:rPr>
          <w:rFonts w:hint="eastAsia" w:ascii="仿宋_GB2312" w:hAnsi="仿宋_GB2312" w:eastAsia="仿宋_GB2312" w:cs="仿宋_GB2312"/>
          <w:b/>
          <w:bCs/>
          <w:color w:val="auto"/>
          <w:spacing w:val="-3"/>
          <w:highlight w:val="none"/>
          <w:lang w:eastAsia="zh-CN"/>
        </w:rPr>
        <w:t>支出责任履行情况</w:t>
      </w:r>
    </w:p>
    <w:p>
      <w:pPr>
        <w:pStyle w:val="4"/>
        <w:spacing w:line="560" w:lineRule="exact"/>
        <w:ind w:firstLine="640" w:firstLineChars="200"/>
        <w:jc w:val="both"/>
        <w:rPr>
          <w:rFonts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按照《新疆维吾尔自治区医疗卫生领域财政事权和支出责任划分改革实施方案》要求，</w:t>
      </w:r>
      <w:r>
        <w:rPr>
          <w:rFonts w:hint="eastAsia" w:ascii="仿宋_GB2312" w:hAnsi="仿宋_GB2312" w:eastAsia="仿宋_GB2312" w:cs="仿宋_GB2312"/>
          <w:color w:val="auto"/>
          <w:highlight w:val="none"/>
          <w:lang w:val="en-US" w:eastAsia="zh-CN"/>
        </w:rPr>
        <w:t>医疗救助补助资金</w:t>
      </w:r>
      <w:r>
        <w:rPr>
          <w:rFonts w:hint="eastAsia" w:ascii="仿宋_GB2312" w:hAnsi="仿宋_GB2312" w:eastAsia="仿宋_GB2312" w:cs="仿宋_GB2312"/>
          <w:color w:val="auto"/>
          <w:highlight w:val="none"/>
          <w:lang w:eastAsia="zh-CN"/>
        </w:rPr>
        <w:t>按照承担职责的相关职能部门及其所属机构隶属关系分别明确自治区财政事权或地县财政事权，由同级财政承担支出责任，</w:t>
      </w:r>
      <w:r>
        <w:rPr>
          <w:rFonts w:ascii="仿宋_GB2312" w:hAnsi="仿宋_GB2312" w:eastAsia="仿宋_GB2312" w:cs="仿宋_GB2312"/>
          <w:color w:val="auto"/>
          <w:highlight w:val="none"/>
          <w:lang w:eastAsia="zh-CN"/>
        </w:rPr>
        <w:t>对共同财政事权转移支付</w:t>
      </w:r>
      <w:r>
        <w:rPr>
          <w:rFonts w:hint="eastAsia" w:ascii="仿宋_GB2312" w:hAnsi="仿宋_GB2312" w:eastAsia="仿宋_GB2312" w:cs="仿宋_GB2312"/>
          <w:color w:val="auto"/>
          <w:highlight w:val="none"/>
          <w:lang w:eastAsia="zh-CN"/>
        </w:rPr>
        <w:t>资金</w:t>
      </w:r>
      <w:r>
        <w:rPr>
          <w:rFonts w:ascii="仿宋_GB2312" w:hAnsi="仿宋_GB2312" w:eastAsia="仿宋_GB2312" w:cs="仿宋_GB2312"/>
          <w:color w:val="auto"/>
          <w:highlight w:val="none"/>
          <w:lang w:eastAsia="zh-CN"/>
        </w:rPr>
        <w:t>，按照财政事权和支出责任划分有关规定，</w:t>
      </w:r>
      <w:r>
        <w:rPr>
          <w:rFonts w:hint="eastAsia" w:ascii="仿宋_GB2312" w:hAnsi="仿宋_GB2312" w:eastAsia="仿宋_GB2312" w:cs="仿宋_GB2312"/>
          <w:color w:val="auto"/>
          <w:highlight w:val="none"/>
          <w:lang w:eastAsia="zh-CN"/>
        </w:rPr>
        <w:t>根据救助需求、工作开展情况、地方财力状况等因素确定</w:t>
      </w:r>
      <w:r>
        <w:rPr>
          <w:rFonts w:hint="eastAsia" w:ascii="仿宋_GB2312" w:hAnsi="仿宋_GB2312" w:eastAsia="仿宋_GB2312" w:cs="仿宋_GB2312"/>
          <w:color w:val="auto"/>
          <w:highlight w:val="none"/>
          <w:lang w:val="en-US" w:eastAsia="zh-CN"/>
        </w:rPr>
        <w:t>医疗救助补助资金</w:t>
      </w:r>
      <w:r>
        <w:rPr>
          <w:rFonts w:hint="eastAsia" w:ascii="仿宋_GB2312" w:hAnsi="仿宋_GB2312" w:eastAsia="仿宋_GB2312" w:cs="仿宋_GB2312"/>
          <w:color w:val="auto"/>
          <w:highlight w:val="none"/>
          <w:lang w:eastAsia="zh-CN"/>
        </w:rPr>
        <w:t>支出责任和分担方式，</w:t>
      </w:r>
      <w:r>
        <w:rPr>
          <w:rFonts w:ascii="仿宋_GB2312" w:hAnsi="仿宋_GB2312" w:eastAsia="仿宋_GB2312" w:cs="仿宋_GB2312"/>
          <w:color w:val="auto"/>
          <w:highlight w:val="none"/>
          <w:lang w:eastAsia="zh-CN"/>
        </w:rPr>
        <w:t>足额安排资金履行本级支出责任。</w:t>
      </w:r>
    </w:p>
    <w:p>
      <w:pPr>
        <w:pStyle w:val="4"/>
        <w:numPr>
          <w:ilvl w:val="0"/>
          <w:numId w:val="2"/>
        </w:numPr>
        <w:spacing w:line="560" w:lineRule="exact"/>
        <w:ind w:firstLine="630" w:firstLineChars="200"/>
        <w:rPr>
          <w:rFonts w:ascii="楷体_GB2312" w:hAnsi="楷体_GB2312" w:eastAsia="楷体_GB2312" w:cs="楷体_GB2312"/>
          <w:b/>
          <w:bCs/>
          <w:color w:val="auto"/>
          <w:spacing w:val="-3"/>
          <w:highlight w:val="none"/>
          <w:lang w:eastAsia="zh-CN"/>
        </w:rPr>
      </w:pPr>
      <w:r>
        <w:rPr>
          <w:rFonts w:hint="eastAsia" w:ascii="楷体_GB2312" w:hAnsi="楷体_GB2312" w:eastAsia="楷体_GB2312" w:cs="楷体_GB2312"/>
          <w:b/>
          <w:bCs/>
          <w:color w:val="auto"/>
          <w:spacing w:val="-3"/>
          <w:highlight w:val="none"/>
          <w:lang w:eastAsia="zh-CN"/>
        </w:rPr>
        <w:t>总体绩效目标完成情况分析</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2024年度医疗救助补助资金总体目标：通过实施城乡医疗救助，医疗救助对象人次规模保持合理水平，重点救助对象政策范围内个人自付费用年度限额内住院救助比例达到70%。2024年度，我区</w:t>
      </w:r>
      <w:r>
        <w:rPr>
          <w:rFonts w:hint="eastAsia" w:ascii="仿宋_GB2312" w:hAnsi="仿宋_GB2312" w:eastAsia="仿宋_GB2312" w:cs="仿宋_GB2312"/>
          <w:color w:val="auto"/>
          <w:highlight w:val="none"/>
          <w:lang w:eastAsia="zh-CN"/>
        </w:rPr>
        <w:t>通过实施城乡医疗救助，将符合救助条件的对象按规定纳入救助范围，资助参保人员409.21万人、住院救助112.73万人次、门诊救助127.61万人次，重点救助对象政策范围内个人自付费用年度限额内住院救助比例达到70%，符合资助条件的农村低收入人口资助参保政策覆盖率</w:t>
      </w:r>
      <w:r>
        <w:rPr>
          <w:rFonts w:hint="eastAsia" w:ascii="仿宋_GB2312" w:hAnsi="仿宋_GB2312" w:eastAsia="仿宋_GB2312" w:cs="仿宋_GB2312"/>
          <w:color w:val="auto"/>
          <w:highlight w:val="none"/>
          <w:lang w:val="en-US" w:eastAsia="zh-CN"/>
        </w:rPr>
        <w:t>99.94%，市域内“一站式”即时结算全覆盖，困难群众看病就医方便程度明显提高，有效缓解了困难群众医疗费用负担，各项目标均达到国家下达要求。</w:t>
      </w:r>
    </w:p>
    <w:p>
      <w:pPr>
        <w:pStyle w:val="4"/>
        <w:numPr>
          <w:ilvl w:val="0"/>
          <w:numId w:val="2"/>
        </w:numPr>
        <w:spacing w:line="560" w:lineRule="exact"/>
        <w:ind w:firstLine="630" w:firstLineChars="200"/>
        <w:rPr>
          <w:rFonts w:ascii="楷体_GB2312" w:hAnsi="楷体_GB2312" w:eastAsia="楷体_GB2312" w:cs="楷体_GB2312"/>
          <w:b/>
          <w:bCs/>
          <w:color w:val="auto"/>
          <w:spacing w:val="-3"/>
          <w:highlight w:val="none"/>
          <w:lang w:eastAsia="zh-CN"/>
        </w:rPr>
      </w:pPr>
      <w:r>
        <w:rPr>
          <w:rFonts w:hint="eastAsia" w:ascii="楷体_GB2312" w:hAnsi="楷体_GB2312" w:eastAsia="楷体_GB2312" w:cs="楷体_GB2312"/>
          <w:b/>
          <w:bCs/>
          <w:color w:val="auto"/>
          <w:spacing w:val="-3"/>
          <w:highlight w:val="none"/>
          <w:lang w:eastAsia="zh-CN"/>
        </w:rPr>
        <w:t>绩效指标完成情况分析</w:t>
      </w:r>
    </w:p>
    <w:p>
      <w:pPr>
        <w:pStyle w:val="4"/>
        <w:spacing w:line="560" w:lineRule="exact"/>
        <w:ind w:firstLine="658" w:firstLineChars="200"/>
        <w:rPr>
          <w:rFonts w:ascii="仿宋_GB2312" w:hAnsi="仿宋_GB2312" w:eastAsia="仿宋_GB2312" w:cs="仿宋_GB2312"/>
          <w:b/>
          <w:bCs/>
          <w:color w:val="auto"/>
          <w:spacing w:val="4"/>
          <w:highlight w:val="none"/>
          <w:lang w:eastAsia="zh-CN"/>
        </w:rPr>
      </w:pPr>
      <w:r>
        <w:rPr>
          <w:rFonts w:hint="eastAsia" w:ascii="仿宋_GB2312" w:hAnsi="仿宋_GB2312" w:eastAsia="仿宋_GB2312" w:cs="仿宋_GB2312"/>
          <w:b/>
          <w:bCs/>
          <w:color w:val="auto"/>
          <w:spacing w:val="4"/>
          <w:highlight w:val="none"/>
          <w:lang w:eastAsia="zh-CN"/>
        </w:rPr>
        <w:t>1.产出指标完成情况分析</w:t>
      </w:r>
    </w:p>
    <w:p>
      <w:pPr>
        <w:pStyle w:val="4"/>
        <w:spacing w:line="560" w:lineRule="exact"/>
        <w:ind w:firstLine="656" w:firstLineChars="200"/>
        <w:rPr>
          <w:rFonts w:ascii="仿宋_GB2312" w:hAnsi="仿宋_GB2312" w:eastAsia="仿宋_GB2312" w:cs="仿宋_GB2312"/>
          <w:bCs/>
          <w:color w:val="auto"/>
          <w:spacing w:val="4"/>
          <w:highlight w:val="none"/>
        </w:rPr>
      </w:pPr>
      <w:r>
        <w:rPr>
          <w:rFonts w:hint="eastAsia" w:ascii="仿宋_GB2312" w:hAnsi="仿宋_GB2312" w:eastAsia="仿宋_GB2312" w:cs="仿宋_GB2312"/>
          <w:bCs/>
          <w:color w:val="auto"/>
          <w:spacing w:val="4"/>
          <w:highlight w:val="none"/>
          <w:lang w:eastAsia="zh-CN"/>
        </w:rPr>
        <w:t>（1）数量指标</w:t>
      </w:r>
    </w:p>
    <w:p>
      <w:pPr>
        <w:pStyle w:val="4"/>
        <w:spacing w:line="560" w:lineRule="exact"/>
        <w:ind w:firstLine="640" w:firstLineChars="200"/>
        <w:jc w:val="both"/>
        <w:rPr>
          <w:color w:val="auto"/>
          <w:highlight w:val="none"/>
          <w:lang w:eastAsia="zh-CN"/>
        </w:rPr>
      </w:pPr>
      <w:r>
        <w:rPr>
          <w:rFonts w:hint="eastAsia" w:ascii="仿宋_GB2312" w:hAnsi="仿宋_GB2312" w:eastAsia="仿宋_GB2312" w:cs="仿宋_GB2312"/>
          <w:b w:val="0"/>
          <w:bCs w:val="0"/>
          <w:color w:val="auto"/>
          <w:highlight w:val="none"/>
          <w:lang w:val="en-US" w:eastAsia="zh-CN"/>
        </w:rPr>
        <w:t>a.</w:t>
      </w:r>
      <w:r>
        <w:rPr>
          <w:rFonts w:hint="eastAsia" w:ascii="仿宋_GB2312" w:hAnsi="仿宋_GB2312" w:eastAsia="仿宋_GB2312" w:cs="仿宋_GB2312"/>
          <w:b w:val="0"/>
          <w:bCs w:val="0"/>
          <w:color w:val="auto"/>
          <w:highlight w:val="none"/>
          <w:lang w:eastAsia="zh-CN"/>
        </w:rPr>
        <w:t>财政部随文下达的医疗救助对象人次规模</w:t>
      </w:r>
      <w:r>
        <w:rPr>
          <w:rFonts w:hint="eastAsia" w:ascii="仿宋_GB2312" w:hAnsi="仿宋_GB2312" w:eastAsia="仿宋_GB2312" w:cs="仿宋_GB2312"/>
          <w:b w:val="0"/>
          <w:bCs w:val="0"/>
          <w:color w:val="auto"/>
          <w:highlight w:val="none"/>
          <w:lang w:val="en-US" w:eastAsia="zh-CN"/>
        </w:rPr>
        <w:t>指标，</w:t>
      </w:r>
      <w:r>
        <w:rPr>
          <w:rFonts w:hint="eastAsia" w:ascii="仿宋_GB2312" w:hAnsi="仿宋_GB2312" w:eastAsia="仿宋_GB2312" w:cs="仿宋_GB2312"/>
          <w:b w:val="0"/>
          <w:bCs w:val="0"/>
          <w:color w:val="auto"/>
          <w:highlight w:val="none"/>
          <w:lang w:eastAsia="zh-CN"/>
        </w:rPr>
        <w:t>指</w:t>
      </w:r>
      <w:r>
        <w:rPr>
          <w:rFonts w:hint="eastAsia" w:ascii="仿宋_GB2312" w:hAnsi="仿宋_GB2312" w:eastAsia="仿宋_GB2312" w:cs="仿宋_GB2312"/>
          <w:color w:val="auto"/>
          <w:highlight w:val="none"/>
          <w:lang w:eastAsia="zh-CN"/>
        </w:rPr>
        <w:t>标值为符合救助条件的对象按规定纳入救助范围，我区实际完成值为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lang w:eastAsia="zh-CN"/>
        </w:rPr>
        <w:t>，完成率100%，偏差率0%。</w:t>
      </w:r>
      <w:r>
        <w:rPr>
          <w:rFonts w:hint="eastAsia" w:ascii="仿宋_GB2312" w:hAnsi="仿宋_GB2312" w:eastAsia="仿宋_GB2312" w:cs="仿宋_GB2312"/>
          <w:color w:val="auto"/>
          <w:highlight w:val="none"/>
          <w:lang w:val="en-US" w:eastAsia="zh-CN"/>
        </w:rPr>
        <w:t>自治区医疗保障局</w:t>
      </w:r>
      <w:r>
        <w:rPr>
          <w:rFonts w:hint="eastAsia" w:ascii="仿宋_GB2312" w:hAnsi="仿宋_GB2312" w:eastAsia="仿宋_GB2312" w:cs="仿宋_GB2312"/>
          <w:color w:val="auto"/>
          <w:highlight w:val="none"/>
          <w:lang w:eastAsia="zh-CN"/>
        </w:rPr>
        <w:t>2024年资助参保人员409.21万人、住院救助112.73万人次、门诊救助127.61万人次。</w:t>
      </w:r>
    </w:p>
    <w:p>
      <w:pPr>
        <w:pStyle w:val="4"/>
        <w:spacing w:line="560" w:lineRule="exact"/>
        <w:ind w:firstLine="656" w:firstLineChars="200"/>
        <w:rPr>
          <w:rFonts w:ascii="仿宋_GB2312" w:hAnsi="仿宋_GB2312" w:eastAsia="仿宋_GB2312" w:cs="仿宋_GB2312"/>
          <w:bCs/>
          <w:color w:val="auto"/>
          <w:spacing w:val="4"/>
          <w:highlight w:val="none"/>
          <w:lang w:eastAsia="zh-CN"/>
        </w:rPr>
      </w:pPr>
      <w:r>
        <w:rPr>
          <w:rFonts w:hint="eastAsia" w:ascii="仿宋_GB2312" w:hAnsi="仿宋_GB2312" w:eastAsia="仿宋_GB2312" w:cs="仿宋_GB2312"/>
          <w:bCs/>
          <w:color w:val="auto"/>
          <w:spacing w:val="4"/>
          <w:highlight w:val="none"/>
          <w:lang w:eastAsia="zh-CN"/>
        </w:rPr>
        <w:t>（2）质量指标</w:t>
      </w:r>
    </w:p>
    <w:p>
      <w:pPr>
        <w:pStyle w:val="9"/>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a.</w:t>
      </w:r>
      <w:r>
        <w:rPr>
          <w:rFonts w:hint="eastAsia" w:ascii="仿宋_GB2312" w:hAnsi="仿宋_GB2312" w:eastAsia="仿宋_GB2312" w:cs="仿宋_GB2312"/>
          <w:b w:val="0"/>
          <w:bCs w:val="0"/>
          <w:color w:val="auto"/>
          <w:sz w:val="32"/>
          <w:szCs w:val="32"/>
          <w:highlight w:val="none"/>
          <w:lang w:eastAsia="zh-CN"/>
        </w:rPr>
        <w:t>财政部随文下达的重点救助对象政策范围内个人自付费用年度限额内住院救助比例</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w:t>
      </w:r>
      <w:r>
        <w:rPr>
          <w:rFonts w:hint="eastAsia" w:ascii="仿宋_GB2312" w:hAnsi="仿宋_GB2312" w:eastAsia="仿宋_GB2312" w:cs="仿宋_GB2312"/>
          <w:color w:val="auto"/>
          <w:sz w:val="32"/>
          <w:szCs w:val="32"/>
          <w:highlight w:val="none"/>
          <w:lang w:eastAsia="zh-CN"/>
        </w:rPr>
        <w:t>标值为≥70%，我区实际完成值70%，完成率100%，偏差率0%。</w:t>
      </w:r>
      <w:r>
        <w:rPr>
          <w:rFonts w:hint="eastAsia" w:ascii="仿宋_GB2312" w:hAnsi="仿宋_GB2312" w:eastAsia="仿宋_GB2312" w:cs="仿宋_GB2312"/>
          <w:color w:val="auto"/>
          <w:sz w:val="32"/>
          <w:szCs w:val="32"/>
          <w:highlight w:val="none"/>
          <w:lang w:val="en-US" w:eastAsia="zh-CN"/>
        </w:rPr>
        <w:t>自治区医疗保障局按照</w:t>
      </w:r>
      <w:r>
        <w:rPr>
          <w:rFonts w:hint="eastAsia" w:ascii="仿宋_GB2312" w:hAnsi="仿宋_GB2312" w:eastAsia="仿宋_GB2312" w:cs="仿宋_GB2312"/>
          <w:color w:val="auto"/>
          <w:sz w:val="32"/>
          <w:szCs w:val="32"/>
          <w:highlight w:val="none"/>
          <w:lang w:eastAsia="zh-CN"/>
        </w:rPr>
        <w:t>《关于健全重特大疾病医疗保险救助制度的实施意见》（新政办发〔2022〕40号）</w:t>
      </w:r>
      <w:r>
        <w:rPr>
          <w:rFonts w:hint="eastAsia" w:ascii="仿宋_GB2312" w:hAnsi="仿宋_GB2312" w:eastAsia="仿宋_GB2312" w:cs="仿宋_GB2312"/>
          <w:color w:val="auto"/>
          <w:sz w:val="32"/>
          <w:szCs w:val="32"/>
          <w:highlight w:val="none"/>
          <w:lang w:val="en-US" w:eastAsia="zh-CN"/>
        </w:rPr>
        <w:t>规定的</w:t>
      </w:r>
      <w:r>
        <w:rPr>
          <w:rFonts w:hint="eastAsia" w:ascii="仿宋_GB2312" w:hAnsi="仿宋_GB2312" w:eastAsia="仿宋_GB2312" w:cs="仿宋_GB2312"/>
          <w:color w:val="auto"/>
          <w:sz w:val="32"/>
          <w:szCs w:val="32"/>
          <w:highlight w:val="none"/>
          <w:lang w:eastAsia="zh-CN"/>
        </w:rPr>
        <w:t>重点救助对象、救助比例、救助范围等</w:t>
      </w:r>
      <w:r>
        <w:rPr>
          <w:rFonts w:hint="eastAsia" w:ascii="仿宋_GB2312" w:hAnsi="仿宋_GB2312" w:eastAsia="仿宋_GB2312" w:cs="仿宋_GB2312"/>
          <w:color w:val="auto"/>
          <w:sz w:val="32"/>
          <w:szCs w:val="32"/>
          <w:highlight w:val="none"/>
          <w:lang w:val="en-US" w:eastAsia="zh-CN"/>
        </w:rPr>
        <w:t>实施医疗救助。</w:t>
      </w:r>
    </w:p>
    <w:p>
      <w:pPr>
        <w:pStyle w:val="9"/>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lang w:eastAsia="zh-CN"/>
        </w:rPr>
        <w:t>财政部随文下达的符合资助条件的农村低收入人口资助参保政策覆盖率</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指标值为≥99%，我区实际完成值为99.94%，完成率100.95%，偏差率0.95%。我区低收入人口在新疆医保信息系统内人数（去重后）为</w:t>
      </w:r>
      <w:r>
        <w:rPr>
          <w:rFonts w:hint="eastAsia" w:ascii="仿宋_GB2312" w:hAnsi="仿宋_GB2312" w:eastAsia="仿宋_GB2312" w:cs="仿宋_GB2312"/>
          <w:color w:val="auto"/>
          <w:sz w:val="32"/>
          <w:szCs w:val="32"/>
          <w:highlight w:val="none"/>
          <w:lang w:val="en-US" w:eastAsia="zh-CN"/>
        </w:rPr>
        <w:t>409.41万</w:t>
      </w:r>
      <w:r>
        <w:rPr>
          <w:rFonts w:hint="eastAsia" w:ascii="仿宋_GB2312" w:hAnsi="仿宋_GB2312" w:eastAsia="仿宋_GB2312" w:cs="仿宋_GB2312"/>
          <w:color w:val="auto"/>
          <w:sz w:val="32"/>
          <w:szCs w:val="32"/>
          <w:highlight w:val="none"/>
          <w:lang w:eastAsia="zh-CN"/>
        </w:rPr>
        <w:t>人,实际参保缴费人数（去重后）为</w:t>
      </w:r>
      <w:r>
        <w:rPr>
          <w:rFonts w:hint="eastAsia" w:ascii="仿宋_GB2312" w:hAnsi="仿宋_GB2312" w:eastAsia="仿宋_GB2312" w:cs="仿宋_GB2312"/>
          <w:color w:val="auto"/>
          <w:sz w:val="32"/>
          <w:szCs w:val="32"/>
          <w:highlight w:val="none"/>
          <w:lang w:val="en-US" w:eastAsia="zh-CN"/>
        </w:rPr>
        <w:t>409.21万</w:t>
      </w:r>
      <w:r>
        <w:rPr>
          <w:rFonts w:hint="eastAsia" w:ascii="仿宋_GB2312" w:hAnsi="仿宋_GB2312" w:eastAsia="仿宋_GB2312" w:cs="仿宋_GB2312"/>
          <w:color w:val="auto"/>
          <w:sz w:val="32"/>
          <w:szCs w:val="32"/>
          <w:highlight w:val="none"/>
          <w:lang w:eastAsia="zh-CN"/>
        </w:rPr>
        <w:t>人，参保政策覆盖率99.94%。</w:t>
      </w:r>
    </w:p>
    <w:p>
      <w:pPr>
        <w:pStyle w:val="9"/>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c.</w:t>
      </w:r>
      <w:r>
        <w:rPr>
          <w:rFonts w:hint="eastAsia" w:ascii="仿宋_GB2312" w:hAnsi="仿宋_GB2312" w:eastAsia="仿宋_GB2312" w:cs="仿宋_GB2312"/>
          <w:color w:val="auto"/>
          <w:sz w:val="32"/>
          <w:szCs w:val="32"/>
          <w:highlight w:val="none"/>
          <w:lang w:eastAsia="zh-CN"/>
        </w:rPr>
        <w:t>财政部随文下达的医保</w:t>
      </w:r>
      <w:r>
        <w:rPr>
          <w:rFonts w:hint="eastAsia" w:ascii="仿宋_GB2312" w:hAnsi="仿宋_GB2312" w:eastAsia="仿宋_GB2312" w:cs="仿宋_GB2312"/>
          <w:color w:val="auto"/>
          <w:sz w:val="32"/>
          <w:szCs w:val="32"/>
          <w:highlight w:val="none"/>
          <w:lang w:val="en-US" w:eastAsia="zh-CN"/>
        </w:rPr>
        <w:t>基金</w:t>
      </w:r>
      <w:r>
        <w:rPr>
          <w:rFonts w:hint="eastAsia" w:ascii="仿宋_GB2312" w:hAnsi="仿宋_GB2312" w:eastAsia="仿宋_GB2312" w:cs="仿宋_GB2312"/>
          <w:color w:val="auto"/>
          <w:sz w:val="32"/>
          <w:szCs w:val="32"/>
          <w:highlight w:val="none"/>
          <w:lang w:eastAsia="zh-CN"/>
        </w:rPr>
        <w:t>监管</w:t>
      </w:r>
      <w:r>
        <w:rPr>
          <w:rFonts w:hint="eastAsia" w:ascii="仿宋_GB2312" w:hAnsi="仿宋_GB2312" w:eastAsia="仿宋_GB2312" w:cs="仿宋_GB2312"/>
          <w:color w:val="auto"/>
          <w:sz w:val="32"/>
          <w:szCs w:val="32"/>
          <w:highlight w:val="none"/>
          <w:lang w:val="en-US" w:eastAsia="zh-CN"/>
        </w:rPr>
        <w:t>情况指标，</w:t>
      </w:r>
      <w:r>
        <w:rPr>
          <w:rFonts w:hint="eastAsia" w:ascii="仿宋_GB2312" w:hAnsi="仿宋_GB2312" w:eastAsia="仿宋_GB2312" w:cs="仿宋_GB2312"/>
          <w:color w:val="auto"/>
          <w:sz w:val="32"/>
          <w:szCs w:val="32"/>
          <w:highlight w:val="none"/>
          <w:lang w:eastAsia="zh-CN"/>
        </w:rPr>
        <w:t>指标值为</w:t>
      </w:r>
      <w:r>
        <w:rPr>
          <w:rFonts w:hint="eastAsia" w:ascii="仿宋_GB2312" w:hAnsi="仿宋_GB2312" w:eastAsia="仿宋_GB2312" w:cs="仿宋_GB2312"/>
          <w:color w:val="auto"/>
          <w:sz w:val="32"/>
          <w:szCs w:val="32"/>
          <w:highlight w:val="none"/>
          <w:lang w:val="en-US" w:eastAsia="zh-CN"/>
        </w:rPr>
        <w:t>基金监管能力逐步提升</w:t>
      </w:r>
      <w:r>
        <w:rPr>
          <w:rFonts w:hint="eastAsia" w:ascii="仿宋_GB2312" w:hAnsi="仿宋_GB2312" w:eastAsia="仿宋_GB2312" w:cs="仿宋_GB2312"/>
          <w:color w:val="auto"/>
          <w:sz w:val="32"/>
          <w:szCs w:val="32"/>
          <w:highlight w:val="none"/>
          <w:lang w:eastAsia="zh-CN"/>
        </w:rPr>
        <w:t>，我区实际完成值为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2024年全区列入医疗保障基金监督检查对象名录库的定点医药机构共计11840家，检查覆盖同比增长13.7%;处理违法违规医药机构9412家，处理机构家数同比增长25.8%;暂停医保服务协议/结算1519家、暂停医保服务家数同比增长83%;解除医保服务协议1004家、解除医保服务家数同比增长622.3%,移交司法机关33家、移交司法家数同比增长371.4%;移交纪检监察机关549家、移交纪检监察机关家数同比增长103.3%;移交其他行政部门1435家，移交其他行政部门家数同比增长23.7%;处罚和追回资金8.64亿元，处罚和追回资金同比增长146.85%。</w:t>
      </w:r>
    </w:p>
    <w:p>
      <w:pPr>
        <w:pStyle w:val="4"/>
        <w:spacing w:line="560" w:lineRule="exact"/>
        <w:ind w:firstLine="656" w:firstLineChars="200"/>
        <w:rPr>
          <w:rFonts w:ascii="仿宋_GB2312" w:hAnsi="仿宋_GB2312" w:eastAsia="仿宋_GB2312" w:cs="仿宋_GB2312"/>
          <w:bCs/>
          <w:color w:val="auto"/>
          <w:spacing w:val="4"/>
          <w:highlight w:val="none"/>
          <w:lang w:eastAsia="zh-CN"/>
        </w:rPr>
      </w:pPr>
      <w:r>
        <w:rPr>
          <w:rFonts w:hint="eastAsia" w:ascii="仿宋_GB2312" w:hAnsi="仿宋_GB2312" w:eastAsia="仿宋_GB2312" w:cs="仿宋_GB2312"/>
          <w:bCs/>
          <w:color w:val="auto"/>
          <w:spacing w:val="4"/>
          <w:highlight w:val="none"/>
          <w:lang w:eastAsia="zh-CN"/>
        </w:rPr>
        <w:t>（3）时效指标</w:t>
      </w:r>
    </w:p>
    <w:p>
      <w:pPr>
        <w:pStyle w:val="4"/>
        <w:spacing w:line="560" w:lineRule="exact"/>
        <w:ind w:firstLine="640" w:firstLineChars="200"/>
        <w:rPr>
          <w:rFonts w:hint="eastAsia" w:ascii="仿宋_GB2312" w:hAnsi="仿宋_GB2312" w:eastAsia="仿宋_GB2312" w:cs="仿宋_GB2312"/>
          <w:b w:val="0"/>
          <w:bCs w:val="0"/>
          <w:color w:val="auto"/>
          <w:highlight w:val="none"/>
          <w:lang w:eastAsia="zh-CN"/>
        </w:rPr>
      </w:pPr>
      <w:r>
        <w:rPr>
          <w:rFonts w:hint="eastAsia" w:ascii="仿宋_GB2312" w:hAnsi="仿宋_GB2312" w:eastAsia="仿宋_GB2312" w:cs="仿宋_GB2312"/>
          <w:b w:val="0"/>
          <w:bCs w:val="0"/>
          <w:color w:val="auto"/>
          <w:highlight w:val="none"/>
          <w:lang w:val="en-US" w:eastAsia="zh-CN"/>
        </w:rPr>
        <w:t>a.</w:t>
      </w:r>
      <w:r>
        <w:rPr>
          <w:rFonts w:hint="eastAsia" w:ascii="仿宋_GB2312" w:hAnsi="仿宋_GB2312" w:eastAsia="仿宋_GB2312" w:cs="仿宋_GB2312"/>
          <w:b w:val="0"/>
          <w:bCs w:val="0"/>
          <w:color w:val="auto"/>
          <w:highlight w:val="none"/>
          <w:lang w:eastAsia="zh-CN"/>
        </w:rPr>
        <w:t>财政部随文下达的市域内“一站式”即时结算覆盖率</w:t>
      </w:r>
      <w:r>
        <w:rPr>
          <w:rFonts w:hint="eastAsia" w:ascii="仿宋_GB2312" w:hAnsi="仿宋_GB2312" w:eastAsia="仿宋_GB2312" w:cs="仿宋_GB2312"/>
          <w:b w:val="0"/>
          <w:bCs w:val="0"/>
          <w:color w:val="auto"/>
          <w:highlight w:val="none"/>
          <w:lang w:val="en-US" w:eastAsia="zh-CN"/>
        </w:rPr>
        <w:t>指标，</w:t>
      </w:r>
      <w:r>
        <w:rPr>
          <w:rFonts w:hint="eastAsia" w:ascii="仿宋_GB2312" w:hAnsi="仿宋_GB2312" w:eastAsia="仿宋_GB2312" w:cs="仿宋_GB2312"/>
          <w:b w:val="0"/>
          <w:bCs w:val="0"/>
          <w:color w:val="auto"/>
          <w:highlight w:val="none"/>
          <w:lang w:eastAsia="zh-CN"/>
        </w:rPr>
        <w:t>指标值为不低于上年，我区实际完成值</w:t>
      </w:r>
      <w:r>
        <w:rPr>
          <w:rFonts w:hint="eastAsia" w:ascii="仿宋_GB2312" w:hAnsi="仿宋_GB2312" w:eastAsia="仿宋_GB2312" w:cs="仿宋_GB2312"/>
          <w:b w:val="0"/>
          <w:bCs w:val="0"/>
          <w:color w:val="auto"/>
          <w:highlight w:val="none"/>
          <w:lang w:val="en-US" w:eastAsia="zh-CN"/>
        </w:rPr>
        <w:t>为100%</w:t>
      </w:r>
      <w:r>
        <w:rPr>
          <w:rFonts w:hint="eastAsia" w:ascii="仿宋_GB2312" w:hAnsi="仿宋_GB2312" w:eastAsia="仿宋_GB2312" w:cs="仿宋_GB2312"/>
          <w:b w:val="0"/>
          <w:bCs w:val="0"/>
          <w:color w:val="auto"/>
          <w:highlight w:val="none"/>
          <w:lang w:eastAsia="zh-CN"/>
        </w:rPr>
        <w:t>，完成率100%，偏差率0%。新系统上线后，自2021年起，我区14个地（州、市）城乡居民基本医疗保险住院费用</w:t>
      </w:r>
      <w:r>
        <w:rPr>
          <w:rFonts w:hint="eastAsia" w:ascii="仿宋_GB2312" w:hAnsi="仿宋_GB2312" w:eastAsia="仿宋_GB2312" w:cs="仿宋_GB2312"/>
          <w:b w:val="0"/>
          <w:bCs w:val="0"/>
          <w:color w:val="auto"/>
          <w:highlight w:val="none"/>
          <w:lang w:val="en-US" w:eastAsia="zh-CN"/>
        </w:rPr>
        <w:t>已</w:t>
      </w:r>
      <w:r>
        <w:rPr>
          <w:rFonts w:hint="eastAsia" w:ascii="仿宋_GB2312" w:hAnsi="仿宋_GB2312" w:eastAsia="仿宋_GB2312" w:cs="仿宋_GB2312"/>
          <w:b w:val="0"/>
          <w:bCs w:val="0"/>
          <w:color w:val="auto"/>
          <w:highlight w:val="none"/>
          <w:lang w:eastAsia="zh-CN"/>
        </w:rPr>
        <w:t>全部实现市域内“一站式”即时结算，市域内“一站式”即时结算全覆盖。</w:t>
      </w:r>
    </w:p>
    <w:p>
      <w:pPr>
        <w:pStyle w:val="4"/>
        <w:spacing w:line="560" w:lineRule="exact"/>
        <w:ind w:firstLine="640" w:firstLineChars="200"/>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eastAsia="zh-CN"/>
        </w:rPr>
        <w:t>（</w:t>
      </w:r>
      <w:r>
        <w:rPr>
          <w:rFonts w:hint="eastAsia" w:ascii="仿宋_GB2312" w:hAnsi="仿宋_GB2312" w:eastAsia="仿宋_GB2312" w:cs="仿宋_GB2312"/>
          <w:b w:val="0"/>
          <w:bCs w:val="0"/>
          <w:color w:val="auto"/>
          <w:highlight w:val="none"/>
          <w:lang w:val="en-US" w:eastAsia="zh-CN"/>
        </w:rPr>
        <w:t>4</w:t>
      </w:r>
      <w:r>
        <w:rPr>
          <w:rFonts w:hint="eastAsia" w:ascii="仿宋_GB2312" w:hAnsi="仿宋_GB2312" w:eastAsia="仿宋_GB2312" w:cs="仿宋_GB2312"/>
          <w:b w:val="0"/>
          <w:bCs w:val="0"/>
          <w:color w:val="auto"/>
          <w:highlight w:val="none"/>
          <w:lang w:eastAsia="zh-CN"/>
        </w:rPr>
        <w:t>）</w:t>
      </w:r>
      <w:r>
        <w:rPr>
          <w:rFonts w:hint="eastAsia" w:ascii="仿宋_GB2312" w:hAnsi="仿宋_GB2312" w:eastAsia="仿宋_GB2312" w:cs="仿宋_GB2312"/>
          <w:b w:val="0"/>
          <w:bCs w:val="0"/>
          <w:color w:val="auto"/>
          <w:highlight w:val="none"/>
          <w:lang w:val="en-US" w:eastAsia="zh-CN"/>
        </w:rPr>
        <w:t>成本指标</w:t>
      </w:r>
    </w:p>
    <w:p>
      <w:pPr>
        <w:pStyle w:val="4"/>
        <w:spacing w:line="560" w:lineRule="exact"/>
        <w:ind w:firstLine="640" w:firstLineChars="200"/>
        <w:rPr>
          <w:rFonts w:hint="default"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财政部随文下达的绩效目标未设定成本指标。</w:t>
      </w:r>
    </w:p>
    <w:p>
      <w:pPr>
        <w:pStyle w:val="4"/>
        <w:spacing w:line="560" w:lineRule="exact"/>
        <w:ind w:firstLine="658" w:firstLineChars="200"/>
        <w:rPr>
          <w:rFonts w:hint="default" w:ascii="仿宋_GB2312" w:hAnsi="仿宋_GB2312" w:eastAsia="仿宋_GB2312" w:cs="仿宋_GB2312"/>
          <w:b/>
          <w:bCs/>
          <w:color w:val="auto"/>
          <w:spacing w:val="4"/>
          <w:highlight w:val="none"/>
          <w:lang w:val="en-US" w:eastAsia="zh-CN"/>
        </w:rPr>
      </w:pPr>
      <w:r>
        <w:rPr>
          <w:rFonts w:hint="eastAsia" w:ascii="仿宋_GB2312" w:hAnsi="仿宋_GB2312" w:eastAsia="仿宋_GB2312" w:cs="仿宋_GB2312"/>
          <w:b/>
          <w:bCs/>
          <w:color w:val="auto"/>
          <w:spacing w:val="4"/>
          <w:highlight w:val="none"/>
          <w:lang w:val="en-US" w:eastAsia="zh-CN"/>
        </w:rPr>
        <w:t>2.效益指标完成情况分析</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经济效益指标</w:t>
      </w:r>
    </w:p>
    <w:p>
      <w:pPr>
        <w:pStyle w:val="4"/>
        <w:spacing w:line="560" w:lineRule="exact"/>
        <w:ind w:firstLine="640" w:firstLineChars="200"/>
        <w:rPr>
          <w:rFonts w:hint="default" w:ascii="仿宋_GB2312" w:hAnsi="仿宋_GB2312" w:eastAsia="仿宋_GB2312" w:cs="仿宋_GB2312"/>
          <w:b w:val="0"/>
          <w:bCs w:val="0"/>
          <w:color w:val="auto"/>
          <w:highlight w:val="none"/>
          <w:lang w:val="en-US" w:eastAsia="zh-CN"/>
        </w:rPr>
      </w:pPr>
      <w:r>
        <w:rPr>
          <w:rFonts w:hint="default" w:ascii="仿宋_GB2312" w:hAnsi="仿宋_GB2312" w:eastAsia="仿宋_GB2312" w:cs="仿宋_GB2312"/>
          <w:b w:val="0"/>
          <w:bCs w:val="0"/>
          <w:color w:val="auto"/>
          <w:highlight w:val="none"/>
          <w:lang w:val="en-US" w:eastAsia="zh-CN"/>
        </w:rPr>
        <w:t>财政部随文下达的绩效目标未设定</w:t>
      </w:r>
      <w:r>
        <w:rPr>
          <w:rFonts w:hint="eastAsia" w:ascii="仿宋_GB2312" w:hAnsi="仿宋_GB2312" w:eastAsia="仿宋_GB2312" w:cs="仿宋_GB2312"/>
          <w:b w:val="0"/>
          <w:bCs w:val="0"/>
          <w:color w:val="auto"/>
          <w:highlight w:val="none"/>
          <w:lang w:val="en-US" w:eastAsia="zh-CN"/>
        </w:rPr>
        <w:t>经济效益</w:t>
      </w:r>
      <w:r>
        <w:rPr>
          <w:rFonts w:hint="default" w:ascii="仿宋_GB2312" w:hAnsi="仿宋_GB2312" w:eastAsia="仿宋_GB2312" w:cs="仿宋_GB2312"/>
          <w:b w:val="0"/>
          <w:bCs w:val="0"/>
          <w:color w:val="auto"/>
          <w:highlight w:val="none"/>
          <w:lang w:val="en-US" w:eastAsia="zh-CN"/>
        </w:rPr>
        <w:t>指标。</w:t>
      </w:r>
    </w:p>
    <w:p>
      <w:pPr>
        <w:spacing w:line="560" w:lineRule="exact"/>
        <w:ind w:firstLine="640" w:firstLineChars="200"/>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）社会效益指标</w:t>
      </w:r>
    </w:p>
    <w:p>
      <w:pPr>
        <w:pStyle w:val="4"/>
        <w:spacing w:line="560" w:lineRule="exact"/>
        <w:ind w:firstLine="656" w:firstLineChars="200"/>
        <w:jc w:val="both"/>
        <w:rPr>
          <w:rFonts w:ascii="仿宋_GB2312" w:hAnsi="仿宋_GB2312" w:eastAsia="仿宋_GB2312" w:cs="仿宋_GB2312"/>
          <w:color w:val="auto"/>
          <w:spacing w:val="4"/>
          <w:highlight w:val="none"/>
          <w:lang w:eastAsia="zh-CN"/>
        </w:rPr>
      </w:pPr>
      <w:r>
        <w:rPr>
          <w:rFonts w:hint="eastAsia" w:ascii="仿宋_GB2312" w:hAnsi="仿宋_GB2312" w:eastAsia="仿宋_GB2312" w:cs="仿宋_GB2312"/>
          <w:color w:val="auto"/>
          <w:spacing w:val="4"/>
          <w:highlight w:val="none"/>
          <w:lang w:val="en-US" w:eastAsia="zh-CN"/>
        </w:rPr>
        <w:t>a.</w:t>
      </w:r>
      <w:r>
        <w:rPr>
          <w:rFonts w:hint="eastAsia" w:ascii="仿宋_GB2312" w:hAnsi="仿宋_GB2312" w:eastAsia="仿宋_GB2312" w:cs="仿宋_GB2312"/>
          <w:color w:val="auto"/>
          <w:spacing w:val="4"/>
          <w:highlight w:val="none"/>
          <w:lang w:eastAsia="zh-CN"/>
        </w:rPr>
        <w:t>财政部随文下达的城乡医疗救助政策知晓率</w:t>
      </w:r>
      <w:r>
        <w:rPr>
          <w:rFonts w:hint="eastAsia" w:ascii="仿宋_GB2312" w:hAnsi="仿宋_GB2312" w:eastAsia="仿宋_GB2312" w:cs="仿宋_GB2312"/>
          <w:color w:val="auto"/>
          <w:spacing w:val="4"/>
          <w:highlight w:val="none"/>
          <w:lang w:val="en-US" w:eastAsia="zh-CN"/>
        </w:rPr>
        <w:t>指标,</w:t>
      </w:r>
      <w:r>
        <w:rPr>
          <w:rFonts w:hint="eastAsia" w:ascii="仿宋_GB2312" w:hAnsi="仿宋_GB2312" w:eastAsia="仿宋_GB2312" w:cs="仿宋_GB2312"/>
          <w:color w:val="auto"/>
          <w:spacing w:val="4"/>
          <w:highlight w:val="none"/>
          <w:lang w:eastAsia="zh-CN"/>
        </w:rPr>
        <w:t>指标值≥80%，我区实际完成值为94.60%，完成率1</w:t>
      </w:r>
      <w:r>
        <w:rPr>
          <w:rFonts w:hint="eastAsia" w:ascii="仿宋_GB2312" w:hAnsi="仿宋_GB2312" w:eastAsia="仿宋_GB2312" w:cs="仿宋_GB2312"/>
          <w:color w:val="auto"/>
          <w:spacing w:val="4"/>
          <w:highlight w:val="none"/>
          <w:lang w:val="en-US" w:eastAsia="zh-CN"/>
        </w:rPr>
        <w:t>18.25</w:t>
      </w:r>
      <w:r>
        <w:rPr>
          <w:rFonts w:hint="eastAsia" w:ascii="仿宋_GB2312" w:hAnsi="仿宋_GB2312" w:eastAsia="仿宋_GB2312" w:cs="仿宋_GB2312"/>
          <w:color w:val="auto"/>
          <w:spacing w:val="4"/>
          <w:highlight w:val="none"/>
          <w:lang w:eastAsia="zh-CN"/>
        </w:rPr>
        <w:t>%，偏差率</w:t>
      </w:r>
      <w:r>
        <w:rPr>
          <w:rFonts w:hint="eastAsia" w:ascii="仿宋_GB2312" w:hAnsi="仿宋_GB2312" w:eastAsia="仿宋_GB2312" w:cs="仿宋_GB2312"/>
          <w:color w:val="auto"/>
          <w:spacing w:val="4"/>
          <w:highlight w:val="none"/>
          <w:lang w:val="en-US" w:eastAsia="zh-CN"/>
        </w:rPr>
        <w:t>18.25</w:t>
      </w:r>
      <w:r>
        <w:rPr>
          <w:rFonts w:hint="eastAsia" w:ascii="仿宋_GB2312" w:hAnsi="仿宋_GB2312" w:eastAsia="仿宋_GB2312" w:cs="仿宋_GB2312"/>
          <w:color w:val="auto"/>
          <w:spacing w:val="4"/>
          <w:highlight w:val="none"/>
          <w:lang w:eastAsia="zh-CN"/>
        </w:rPr>
        <w:t>%。</w:t>
      </w:r>
      <w:r>
        <w:rPr>
          <w:rFonts w:hint="eastAsia" w:ascii="仿宋_GB2312" w:hAnsi="仿宋_GB2312" w:eastAsia="仿宋_GB2312" w:cs="仿宋_GB2312"/>
          <w:color w:val="auto"/>
          <w:spacing w:val="4"/>
          <w:highlight w:val="none"/>
          <w:lang w:val="en-US" w:eastAsia="zh-CN"/>
        </w:rPr>
        <w:t>自治区医疗保障局</w:t>
      </w:r>
      <w:r>
        <w:rPr>
          <w:rFonts w:hint="eastAsia" w:ascii="仿宋_GB2312" w:hAnsi="仿宋_GB2312" w:eastAsia="仿宋_GB2312" w:cs="仿宋_GB2312"/>
          <w:color w:val="auto"/>
          <w:spacing w:val="4"/>
          <w:highlight w:val="none"/>
          <w:lang w:eastAsia="zh-CN"/>
        </w:rPr>
        <w:t>组织14个地（州、市）医疗保障局开展城乡医疗救助政策知晓程度调查工作</w:t>
      </w:r>
      <w:r>
        <w:rPr>
          <w:rFonts w:hint="eastAsia" w:ascii="仿宋_GB2312" w:hAnsi="仿宋_GB2312" w:eastAsia="仿宋_GB2312" w:cs="仿宋_GB2312"/>
          <w:color w:val="auto"/>
          <w:spacing w:val="4"/>
          <w:highlight w:val="none"/>
          <w:lang w:val="en-US" w:eastAsia="zh-CN"/>
        </w:rPr>
        <w:t>,政策知晓率</w:t>
      </w:r>
      <w:r>
        <w:rPr>
          <w:rFonts w:hint="eastAsia" w:ascii="仿宋_GB2312" w:hAnsi="仿宋_GB2312" w:eastAsia="仿宋_GB2312" w:cs="仿宋_GB2312"/>
          <w:color w:val="auto"/>
          <w:spacing w:val="4"/>
          <w:highlight w:val="none"/>
          <w:lang w:eastAsia="zh-CN"/>
        </w:rPr>
        <w:t>为94.60%。</w:t>
      </w:r>
    </w:p>
    <w:p>
      <w:pPr>
        <w:pStyle w:val="4"/>
        <w:spacing w:line="560" w:lineRule="exact"/>
        <w:ind w:firstLine="656" w:firstLineChars="200"/>
        <w:jc w:val="both"/>
        <w:rPr>
          <w:color w:val="auto"/>
          <w:highlight w:val="none"/>
          <w:lang w:eastAsia="zh-CN"/>
        </w:rPr>
      </w:pPr>
      <w:r>
        <w:rPr>
          <w:rFonts w:hint="eastAsia" w:ascii="仿宋_GB2312" w:hAnsi="仿宋_GB2312" w:eastAsia="仿宋_GB2312" w:cs="仿宋_GB2312"/>
          <w:color w:val="auto"/>
          <w:spacing w:val="4"/>
          <w:highlight w:val="none"/>
          <w:lang w:val="en-US" w:eastAsia="zh-CN"/>
        </w:rPr>
        <w:t>b.财政部随文下达的困难群众看病就医方便程度指标，指标值为明显提高，我区实际完成值为100%，完成率100%，偏差率0%。全疆已在每个县（区）内建成医保基层云服务经办服务点，由基层医保服务站（点）经办、代办，让医保服务延伸至群众“家门口”；实现市域内“一站式”服务、一窗口办理、“一单制”即时结算，困难群众看病就医方便程度明显提高。</w:t>
      </w:r>
    </w:p>
    <w:p>
      <w:pPr>
        <w:pStyle w:val="4"/>
        <w:spacing w:line="560" w:lineRule="exact"/>
        <w:ind w:firstLine="640" w:firstLineChars="200"/>
        <w:jc w:val="both"/>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c.</w:t>
      </w:r>
      <w:r>
        <w:rPr>
          <w:rFonts w:hint="eastAsia" w:ascii="仿宋_GB2312" w:hAnsi="仿宋_GB2312" w:eastAsia="仿宋_GB2312" w:cs="仿宋_GB2312"/>
          <w:color w:val="auto"/>
          <w:highlight w:val="none"/>
          <w:lang w:eastAsia="zh-CN"/>
        </w:rPr>
        <w:t>财政部随文下达的困难群众医疗费用负担</w:t>
      </w:r>
      <w:r>
        <w:rPr>
          <w:rFonts w:hint="eastAsia" w:ascii="仿宋_GB2312" w:hAnsi="仿宋_GB2312" w:eastAsia="仿宋_GB2312" w:cs="仿宋_GB2312"/>
          <w:color w:val="auto"/>
          <w:highlight w:val="none"/>
          <w:lang w:val="en-US" w:eastAsia="zh-CN"/>
        </w:rPr>
        <w:t>指标，</w:t>
      </w:r>
      <w:r>
        <w:rPr>
          <w:rFonts w:hint="eastAsia" w:ascii="仿宋_GB2312" w:hAnsi="仿宋_GB2312" w:eastAsia="仿宋_GB2312" w:cs="仿宋_GB2312"/>
          <w:color w:val="auto"/>
          <w:highlight w:val="none"/>
          <w:lang w:eastAsia="zh-CN"/>
        </w:rPr>
        <w:t>指标值为有效缓解，我区实际完成值为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lang w:eastAsia="zh-CN"/>
        </w:rPr>
        <w:t>，完成率100%，偏差率0%。2024年，筹集医疗救助资金17.58亿余元，资助参保409.21万人、资助金额8.47亿元，住院救助112.73万人次、救助金额8.67亿元，门诊救助127.61万人次、救助金额1.24亿元，</w:t>
      </w:r>
      <w:r>
        <w:rPr>
          <w:rFonts w:hint="eastAsia" w:ascii="仿宋_GB2312" w:hAnsi="仿宋_GB2312" w:eastAsia="仿宋_GB2312" w:cs="仿宋_GB2312"/>
          <w:color w:val="auto"/>
          <w:highlight w:val="none"/>
          <w:lang w:val="en-US" w:eastAsia="zh-CN"/>
        </w:rPr>
        <w:t>有效减轻了</w:t>
      </w:r>
      <w:r>
        <w:rPr>
          <w:rFonts w:hint="eastAsia" w:ascii="仿宋_GB2312" w:hAnsi="仿宋_GB2312" w:eastAsia="仿宋_GB2312" w:cs="仿宋_GB2312"/>
          <w:color w:val="auto"/>
          <w:highlight w:val="none"/>
          <w:lang w:eastAsia="zh-CN"/>
        </w:rPr>
        <w:t>困难群众医疗费用负担。</w:t>
      </w:r>
    </w:p>
    <w:p>
      <w:pPr>
        <w:pStyle w:val="4"/>
        <w:spacing w:line="560" w:lineRule="exact"/>
        <w:ind w:firstLine="64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生态效益指标</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b w:val="0"/>
          <w:bCs w:val="0"/>
          <w:color w:val="auto"/>
          <w:highlight w:val="none"/>
          <w:lang w:val="en-US" w:eastAsia="zh-CN"/>
        </w:rPr>
        <w:t>财政部随文下达的绩效目标未设定</w:t>
      </w:r>
      <w:r>
        <w:rPr>
          <w:rFonts w:hint="eastAsia" w:ascii="仿宋_GB2312" w:hAnsi="仿宋_GB2312" w:eastAsia="仿宋_GB2312" w:cs="仿宋_GB2312"/>
          <w:b w:val="0"/>
          <w:bCs w:val="0"/>
          <w:color w:val="auto"/>
          <w:highlight w:val="none"/>
          <w:lang w:val="en-US" w:eastAsia="zh-CN"/>
        </w:rPr>
        <w:t>生态效益</w:t>
      </w:r>
      <w:r>
        <w:rPr>
          <w:rFonts w:hint="default" w:ascii="仿宋_GB2312" w:hAnsi="仿宋_GB2312" w:eastAsia="仿宋_GB2312" w:cs="仿宋_GB2312"/>
          <w:b w:val="0"/>
          <w:bCs w:val="0"/>
          <w:color w:val="auto"/>
          <w:highlight w:val="none"/>
          <w:lang w:val="en-US" w:eastAsia="zh-CN"/>
        </w:rPr>
        <w:t>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）可持续性影响指标</w:t>
      </w:r>
    </w:p>
    <w:p>
      <w:pPr>
        <w:pStyle w:val="4"/>
        <w:spacing w:line="560" w:lineRule="exact"/>
        <w:ind w:firstLine="640" w:firstLineChars="200"/>
        <w:jc w:val="both"/>
        <w:rPr>
          <w:rFonts w:ascii="仿宋_GB2312" w:hAnsi="仿宋_GB2312" w:eastAsia="仿宋_GB2312" w:cs="仿宋_GB2312"/>
          <w:color w:val="auto"/>
          <w:highlight w:val="none"/>
          <w:lang w:eastAsia="zh-CN"/>
        </w:rPr>
      </w:pPr>
      <w:r>
        <w:rPr>
          <w:rFonts w:hint="eastAsia" w:ascii="仿宋_GB2312" w:hAnsi="仿宋_GB2312" w:eastAsia="仿宋_GB2312" w:cs="仿宋_GB2312"/>
          <w:b w:val="0"/>
          <w:bCs w:val="0"/>
          <w:color w:val="auto"/>
          <w:highlight w:val="none"/>
          <w:lang w:val="en-US" w:eastAsia="zh-CN"/>
        </w:rPr>
        <w:t>a.财政部随文下达的</w:t>
      </w:r>
      <w:r>
        <w:rPr>
          <w:rFonts w:hint="eastAsia" w:ascii="仿宋_GB2312" w:hAnsi="仿宋_GB2312" w:eastAsia="仿宋_GB2312" w:cs="仿宋_GB2312"/>
          <w:b w:val="0"/>
          <w:bCs w:val="0"/>
          <w:color w:val="auto"/>
          <w:highlight w:val="none"/>
          <w:lang w:eastAsia="zh-CN"/>
        </w:rPr>
        <w:t>对健全社会救助体系的影响</w:t>
      </w:r>
      <w:r>
        <w:rPr>
          <w:rFonts w:hint="eastAsia" w:ascii="仿宋_GB2312" w:hAnsi="仿宋_GB2312" w:eastAsia="仿宋_GB2312" w:cs="仿宋_GB2312"/>
          <w:b w:val="0"/>
          <w:bCs w:val="0"/>
          <w:color w:val="auto"/>
          <w:highlight w:val="none"/>
          <w:lang w:val="en-US" w:eastAsia="zh-CN"/>
        </w:rPr>
        <w:t>指标，</w:t>
      </w:r>
      <w:r>
        <w:rPr>
          <w:rFonts w:hint="eastAsia" w:ascii="仿宋_GB2312" w:hAnsi="仿宋_GB2312" w:eastAsia="仿宋_GB2312" w:cs="仿宋_GB2312"/>
          <w:b w:val="0"/>
          <w:bCs w:val="0"/>
          <w:color w:val="auto"/>
          <w:highlight w:val="none"/>
          <w:lang w:eastAsia="zh-CN"/>
        </w:rPr>
        <w:t>指标</w:t>
      </w:r>
      <w:r>
        <w:rPr>
          <w:rFonts w:hint="eastAsia" w:ascii="仿宋_GB2312" w:hAnsi="仿宋_GB2312" w:eastAsia="仿宋_GB2312" w:cs="仿宋_GB2312"/>
          <w:color w:val="auto"/>
          <w:highlight w:val="none"/>
          <w:lang w:eastAsia="zh-CN"/>
        </w:rPr>
        <w:t>值为成效明显，我区实际完成值为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lang w:eastAsia="zh-CN"/>
        </w:rPr>
        <w:t>，完成率100%，偏差率0%。2024年，一是我局通过专项调度、动态监测、定期通报参保情况等措施，提升参保管理精细化水平，实现应保尽保。二是分类实施资助参保政策，精准落实过渡期内各项医保帮扶政策，强化基本医保、大病保险、医疗救助三重制度综合保障。三是增强大病保险减负功能，继续落实“一降低、一提高、一取消”的倾斜支付政策，夯实医疗救助托底保障功能，对特困人员（含孤儿）、低保对象实行直接救助。四是加强农村低收入人口和脱贫人口中高额医疗费用负担患者监测预警，做好刚性支出困难家庭重病患者医疗救助，对健全社会救助体系的影响</w:t>
      </w:r>
      <w:r>
        <w:rPr>
          <w:rFonts w:hint="eastAsia" w:ascii="仿宋_GB2312" w:hAnsi="仿宋_GB2312" w:eastAsia="仿宋_GB2312" w:cs="仿宋_GB2312"/>
          <w:color w:val="auto"/>
          <w:highlight w:val="none"/>
          <w:lang w:val="en-US" w:eastAsia="zh-CN"/>
        </w:rPr>
        <w:t>成效明显</w:t>
      </w:r>
      <w:r>
        <w:rPr>
          <w:rFonts w:hint="eastAsia" w:ascii="仿宋_GB2312" w:hAnsi="仿宋_GB2312" w:eastAsia="仿宋_GB2312" w:cs="仿宋_GB2312"/>
          <w:color w:val="auto"/>
          <w:highlight w:val="none"/>
          <w:lang w:eastAsia="zh-CN"/>
        </w:rPr>
        <w:t>。</w:t>
      </w:r>
    </w:p>
    <w:p>
      <w:pPr>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lang w:eastAsia="zh-CN"/>
        </w:rPr>
        <w:t>财政部随文下达的对健全医疗保障制度体系的作用</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指标值为成效明显，我区实际完成值为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通过</w:t>
      </w:r>
      <w:r>
        <w:rPr>
          <w:rFonts w:hint="eastAsia" w:ascii="仿宋_GB2312" w:hAnsi="仿宋_GB2312" w:eastAsia="仿宋_GB2312" w:cs="仿宋_GB2312"/>
          <w:color w:val="auto"/>
          <w:sz w:val="32"/>
          <w:szCs w:val="32"/>
          <w:highlight w:val="none"/>
          <w:lang w:eastAsia="zh-CN"/>
        </w:rPr>
        <w:t>巩固拓展医疗保障脱贫攻坚成果同乡村振兴有效衔接，进一步夯实医疗救助兜底保障，完善生育保险相关制度，优化调整职工医保门诊共济保障政策，持续深化“两病”门诊用药保障，稳妥推进长期护理保险制度试点工作，引导支持统筹地区规范发展“惠民保”</w:t>
      </w:r>
      <w:r>
        <w:rPr>
          <w:rFonts w:hint="eastAsia" w:ascii="仿宋_GB2312" w:hAnsi="仿宋_GB2312" w:eastAsia="仿宋_GB2312" w:cs="仿宋_GB2312"/>
          <w:color w:val="auto"/>
          <w:sz w:val="32"/>
          <w:szCs w:val="32"/>
          <w:highlight w:val="none"/>
          <w:lang w:val="en-US" w:eastAsia="zh-CN"/>
        </w:rPr>
        <w:t>等工作，</w:t>
      </w:r>
      <w:r>
        <w:rPr>
          <w:rFonts w:hint="eastAsia" w:ascii="仿宋_GB2312" w:hAnsi="仿宋_GB2312" w:eastAsia="仿宋_GB2312" w:cs="仿宋_GB2312"/>
          <w:color w:val="auto"/>
          <w:sz w:val="32"/>
          <w:szCs w:val="32"/>
          <w:highlight w:val="none"/>
          <w:lang w:eastAsia="zh-CN"/>
        </w:rPr>
        <w:t>基本医保、大病保险、医疗救助三重保障制度有效衔接，有力增加保障能力，对健全医疗保障制度体系的作用</w:t>
      </w:r>
      <w:r>
        <w:rPr>
          <w:rFonts w:hint="eastAsia" w:ascii="仿宋_GB2312" w:hAnsi="仿宋_GB2312" w:eastAsia="仿宋_GB2312" w:cs="仿宋_GB2312"/>
          <w:color w:val="auto"/>
          <w:sz w:val="32"/>
          <w:szCs w:val="32"/>
          <w:highlight w:val="none"/>
          <w:lang w:val="en-US" w:eastAsia="zh-CN"/>
        </w:rPr>
        <w:t>成效明显</w:t>
      </w:r>
      <w:r>
        <w:rPr>
          <w:rFonts w:hint="eastAsia" w:ascii="仿宋_GB2312" w:hAnsi="仿宋_GB2312" w:eastAsia="仿宋_GB2312" w:cs="仿宋_GB2312"/>
          <w:color w:val="auto"/>
          <w:sz w:val="32"/>
          <w:szCs w:val="32"/>
          <w:highlight w:val="none"/>
          <w:lang w:eastAsia="zh-CN"/>
        </w:rPr>
        <w:t>。</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58" w:firstLineChars="200"/>
        <w:textAlignment w:val="baseline"/>
        <w:rPr>
          <w:rFonts w:hint="default" w:ascii="仿宋_GB2312" w:hAnsi="仿宋_GB2312" w:eastAsia="仿宋_GB2312" w:cs="仿宋_GB2312"/>
          <w:b/>
          <w:bCs/>
          <w:color w:val="auto"/>
          <w:spacing w:val="4"/>
          <w:highlight w:val="none"/>
          <w:lang w:val="en-US" w:eastAsia="zh-CN"/>
        </w:rPr>
      </w:pPr>
      <w:r>
        <w:rPr>
          <w:rFonts w:hint="eastAsia" w:ascii="仿宋_GB2312" w:hAnsi="仿宋_GB2312" w:eastAsia="仿宋_GB2312" w:cs="仿宋_GB2312"/>
          <w:b/>
          <w:bCs/>
          <w:color w:val="auto"/>
          <w:spacing w:val="4"/>
          <w:highlight w:val="none"/>
          <w:lang w:val="en-US" w:eastAsia="zh-CN"/>
        </w:rPr>
        <w:t>3.满意度指标完成情况分析</w:t>
      </w:r>
    </w:p>
    <w:p>
      <w:pPr>
        <w:spacing w:line="560" w:lineRule="exact"/>
        <w:ind w:firstLine="640" w:firstLineChars="200"/>
        <w:jc w:val="both"/>
        <w:rPr>
          <w:rFonts w:hint="eastAsia"/>
          <w:color w:val="auto"/>
          <w:highlight w:val="none"/>
          <w:lang w:eastAsia="zh-CN"/>
        </w:rPr>
      </w:pPr>
      <w:r>
        <w:rPr>
          <w:rFonts w:hint="eastAsia" w:ascii="仿宋_GB2312" w:hAnsi="仿宋_GB2312" w:eastAsia="仿宋_GB2312" w:cs="仿宋_GB2312"/>
          <w:b w:val="0"/>
          <w:bCs w:val="0"/>
          <w:color w:val="auto"/>
          <w:sz w:val="32"/>
          <w:szCs w:val="32"/>
          <w:highlight w:val="none"/>
          <w:lang w:val="en-US" w:eastAsia="zh-CN"/>
        </w:rPr>
        <w:t>a.财政部随文下达的</w:t>
      </w:r>
      <w:r>
        <w:rPr>
          <w:rFonts w:hint="eastAsia" w:ascii="仿宋_GB2312" w:hAnsi="仿宋_GB2312" w:eastAsia="仿宋_GB2312" w:cs="仿宋_GB2312"/>
          <w:b w:val="0"/>
          <w:bCs w:val="0"/>
          <w:color w:val="auto"/>
          <w:sz w:val="32"/>
          <w:szCs w:val="32"/>
          <w:highlight w:val="none"/>
          <w:lang w:eastAsia="zh-CN"/>
        </w:rPr>
        <w:t>救助对象对救助工作满意度</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指标值为大于等于85%，我区实际完成值为96.21%，完成率1</w:t>
      </w:r>
      <w:r>
        <w:rPr>
          <w:rFonts w:hint="eastAsia" w:ascii="仿宋_GB2312" w:hAnsi="仿宋_GB2312" w:eastAsia="仿宋_GB2312" w:cs="仿宋_GB2312"/>
          <w:color w:val="auto"/>
          <w:sz w:val="32"/>
          <w:szCs w:val="32"/>
          <w:highlight w:val="none"/>
          <w:lang w:val="en-US" w:eastAsia="zh-CN"/>
        </w:rPr>
        <w:t>13.19</w:t>
      </w:r>
      <w:r>
        <w:rPr>
          <w:rFonts w:hint="eastAsia" w:ascii="仿宋_GB2312" w:hAnsi="仿宋_GB2312" w:eastAsia="仿宋_GB2312" w:cs="仿宋_GB2312"/>
          <w:color w:val="auto"/>
          <w:sz w:val="32"/>
          <w:szCs w:val="32"/>
          <w:highlight w:val="none"/>
          <w:lang w:eastAsia="zh-CN"/>
        </w:rPr>
        <w:t>%，偏差率</w:t>
      </w:r>
      <w:r>
        <w:rPr>
          <w:rFonts w:hint="eastAsia" w:ascii="仿宋_GB2312" w:hAnsi="仿宋_GB2312" w:eastAsia="仿宋_GB2312" w:cs="仿宋_GB2312"/>
          <w:color w:val="auto"/>
          <w:sz w:val="32"/>
          <w:szCs w:val="32"/>
          <w:highlight w:val="none"/>
          <w:lang w:val="en-US" w:eastAsia="zh-CN"/>
        </w:rPr>
        <w:t>13.19</w:t>
      </w:r>
      <w:r>
        <w:rPr>
          <w:rFonts w:hint="eastAsia" w:ascii="仿宋_GB2312" w:hAnsi="仿宋_GB2312" w:eastAsia="仿宋_GB2312" w:cs="仿宋_GB2312"/>
          <w:color w:val="auto"/>
          <w:sz w:val="32"/>
          <w:szCs w:val="32"/>
          <w:highlight w:val="none"/>
          <w:lang w:eastAsia="zh-CN"/>
        </w:rPr>
        <w:t>%。我局组织14个地（州、市）医疗保障局开展新疆维吾尔自治区城乡医疗救助满意度调查工作，</w:t>
      </w:r>
      <w:r>
        <w:rPr>
          <w:rFonts w:hint="eastAsia" w:ascii="仿宋_GB2312" w:hAnsi="仿宋_GB2312" w:eastAsia="仿宋_GB2312" w:cs="仿宋_GB2312"/>
          <w:color w:val="auto"/>
          <w:sz w:val="32"/>
          <w:szCs w:val="32"/>
          <w:highlight w:val="none"/>
          <w:lang w:val="en-US" w:eastAsia="zh-CN"/>
        </w:rPr>
        <w:t>满意度为</w:t>
      </w:r>
      <w:r>
        <w:rPr>
          <w:rFonts w:hint="eastAsia" w:ascii="仿宋_GB2312" w:hAnsi="仿宋_GB2312" w:eastAsia="仿宋_GB2312" w:cs="仿宋_GB2312"/>
          <w:color w:val="auto"/>
          <w:sz w:val="32"/>
          <w:szCs w:val="32"/>
          <w:highlight w:val="none"/>
          <w:lang w:eastAsia="zh-CN"/>
        </w:rPr>
        <w:t>96.21%。</w:t>
      </w:r>
    </w:p>
    <w:p>
      <w:pPr>
        <w:spacing w:before="234" w:line="560" w:lineRule="exact"/>
        <w:ind w:firstLine="620" w:firstLineChars="200"/>
        <w:outlineLvl w:val="0"/>
        <w:rPr>
          <w:rFonts w:ascii="黑体" w:hAnsi="黑体" w:eastAsia="黑体" w:cs="黑体"/>
          <w:color w:val="auto"/>
          <w:spacing w:val="-5"/>
          <w:sz w:val="32"/>
          <w:szCs w:val="32"/>
          <w:highlight w:val="none"/>
          <w:lang w:eastAsia="zh-CN"/>
        </w:rPr>
      </w:pPr>
      <w:r>
        <w:rPr>
          <w:rFonts w:hint="eastAsia" w:ascii="黑体" w:hAnsi="黑体" w:eastAsia="黑体" w:cs="黑体"/>
          <w:color w:val="auto"/>
          <w:spacing w:val="-5"/>
          <w:sz w:val="32"/>
          <w:szCs w:val="32"/>
          <w:highlight w:val="none"/>
          <w:lang w:eastAsia="zh-CN"/>
        </w:rPr>
        <w:t>三 、偏离绩效目标的原因和下一步改进措施</w:t>
      </w:r>
    </w:p>
    <w:p>
      <w:pPr>
        <w:spacing w:line="500" w:lineRule="exact"/>
        <w:ind w:firstLine="642" w:firstLineChars="200"/>
        <w:outlineLvl w:val="0"/>
        <w:rPr>
          <w:rFonts w:hint="eastAsia" w:ascii="仿宋_GB2312" w:hAnsi="仿宋_GB2312" w:eastAsia="仿宋_GB2312" w:cs="仿宋_GB2312"/>
          <w:color w:val="auto"/>
          <w:highlight w:val="none"/>
          <w:lang w:eastAsia="zh-CN"/>
        </w:rPr>
      </w:pPr>
      <w:r>
        <w:rPr>
          <w:rFonts w:ascii="Times New Roman" w:hAnsi="Times New Roman" w:eastAsia="楷体" w:cs="Times New Roman"/>
          <w:b/>
          <w:bCs/>
          <w:color w:val="auto"/>
          <w:sz w:val="32"/>
          <w:szCs w:val="32"/>
          <w:highlight w:val="none"/>
        </w:rPr>
        <w:t>（一）偏离的绩效目标和原因</w:t>
      </w:r>
    </w:p>
    <w:p>
      <w:pPr>
        <w:pStyle w:val="4"/>
        <w:spacing w:line="560" w:lineRule="exact"/>
        <w:ind w:firstLine="640" w:firstLineChars="200"/>
        <w:jc w:val="both"/>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新疆维吾尔自治区医疗救助补助资金（城乡医疗救助部分）</w:t>
      </w:r>
      <w:r>
        <w:rPr>
          <w:rFonts w:hint="eastAsia" w:ascii="仿宋_GB2312" w:hAnsi="仿宋_GB2312" w:eastAsia="仿宋_GB2312" w:cs="仿宋_GB2312"/>
          <w:color w:val="auto"/>
          <w:highlight w:val="none"/>
          <w:lang w:val="en-US" w:eastAsia="zh-CN"/>
        </w:rPr>
        <w:t>经过自评，按照财政部设定的绩效目标均已全部完成，未出现偏离超过30%的情况。</w:t>
      </w:r>
    </w:p>
    <w:p>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br w:type="page"/>
      </w:r>
    </w:p>
    <w:p>
      <w:pPr>
        <w:spacing w:line="500" w:lineRule="exact"/>
        <w:ind w:firstLine="642" w:firstLineChars="200"/>
        <w:outlineLvl w:val="0"/>
        <w:rPr>
          <w:rFonts w:ascii="Times New Roman" w:hAnsi="Times New Roman" w:eastAsia="楷体" w:cs="Times New Roman"/>
          <w:b/>
          <w:bCs/>
          <w:color w:val="auto"/>
          <w:kern w:val="2"/>
          <w:sz w:val="32"/>
          <w:szCs w:val="32"/>
          <w:highlight w:val="none"/>
        </w:rPr>
      </w:pPr>
      <w:r>
        <w:rPr>
          <w:rFonts w:ascii="Times New Roman" w:hAnsi="Times New Roman" w:eastAsia="楷体" w:cs="Times New Roman"/>
          <w:b/>
          <w:bCs/>
          <w:color w:val="auto"/>
          <w:kern w:val="2"/>
          <w:sz w:val="32"/>
          <w:szCs w:val="32"/>
          <w:highlight w:val="none"/>
        </w:rPr>
        <w:t>（二）下一步改进措施</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一是强化预算的精准性；二是建立医疗救助补助资金预算执行调度督办机制，对序时进度慢的地区进行督办。</w:t>
      </w:r>
    </w:p>
    <w:p>
      <w:pPr>
        <w:spacing w:before="234" w:line="560" w:lineRule="exact"/>
        <w:ind w:firstLine="620" w:firstLineChars="200"/>
        <w:outlineLvl w:val="0"/>
        <w:rPr>
          <w:rFonts w:hint="eastAsia" w:ascii="仿宋_GB2312" w:hAnsi="仿宋_GB2312" w:eastAsia="仿宋_GB2312" w:cs="仿宋_GB2312"/>
          <w:color w:val="auto"/>
          <w:highlight w:val="none"/>
          <w:lang w:eastAsia="zh-CN"/>
        </w:rPr>
      </w:pPr>
      <w:r>
        <w:rPr>
          <w:rFonts w:hint="eastAsia" w:ascii="黑体" w:hAnsi="黑体" w:eastAsia="黑体" w:cs="黑体"/>
          <w:color w:val="auto"/>
          <w:spacing w:val="-5"/>
          <w:sz w:val="32"/>
          <w:szCs w:val="32"/>
          <w:highlight w:val="none"/>
          <w:lang w:eastAsia="zh-CN"/>
        </w:rPr>
        <w:t>四、绩效自评结果拟应用和公开情况</w:t>
      </w:r>
    </w:p>
    <w:p>
      <w:pPr>
        <w:pStyle w:val="4"/>
        <w:spacing w:line="560" w:lineRule="exact"/>
        <w:ind w:firstLine="640" w:firstLineChars="200"/>
        <w:jc w:val="both"/>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eastAsia="zh-CN"/>
        </w:rPr>
        <w:t>按照财政部《项目支出绩效评价管理办法》（财预〔2020〕10号）规定，单位自评标准是：预算执行10分、产出指标50分、效益指标30分、服务对象满意度指标10分。经自评，202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eastAsia="zh-CN"/>
        </w:rPr>
        <w:t>年度新疆维吾尔自治区医疗救助补助资金（城乡医疗救助部分）绩效自评价得分为99.76分，其中：预算执行</w:t>
      </w:r>
      <w:r>
        <w:rPr>
          <w:rFonts w:hint="eastAsia" w:ascii="仿宋_GB2312" w:hAnsi="仿宋_GB2312" w:eastAsia="仿宋_GB2312" w:cs="仿宋_GB2312"/>
          <w:color w:val="auto"/>
          <w:highlight w:val="none"/>
          <w:lang w:val="en-US" w:eastAsia="zh-CN"/>
        </w:rPr>
        <w:t>9.76</w:t>
      </w:r>
      <w:r>
        <w:rPr>
          <w:rFonts w:hint="eastAsia" w:ascii="仿宋_GB2312" w:hAnsi="仿宋_GB2312" w:eastAsia="仿宋_GB2312" w:cs="仿宋_GB2312"/>
          <w:color w:val="auto"/>
          <w:highlight w:val="none"/>
          <w:lang w:eastAsia="zh-CN"/>
        </w:rPr>
        <w:t>分、产出指标</w:t>
      </w:r>
      <w:r>
        <w:rPr>
          <w:rFonts w:hint="eastAsia" w:ascii="仿宋_GB2312" w:hAnsi="仿宋_GB2312" w:eastAsia="仿宋_GB2312" w:cs="仿宋_GB2312"/>
          <w:color w:val="auto"/>
          <w:highlight w:val="none"/>
          <w:lang w:val="en-US" w:eastAsia="zh-CN"/>
        </w:rPr>
        <w:t>50</w:t>
      </w:r>
      <w:r>
        <w:rPr>
          <w:rFonts w:hint="eastAsia" w:ascii="仿宋_GB2312" w:hAnsi="仿宋_GB2312" w:eastAsia="仿宋_GB2312" w:cs="仿宋_GB2312"/>
          <w:color w:val="auto"/>
          <w:highlight w:val="none"/>
          <w:lang w:eastAsia="zh-CN"/>
        </w:rPr>
        <w:t>分、效益指标30分、服务对象满意度指标</w:t>
      </w:r>
      <w:r>
        <w:rPr>
          <w:rFonts w:hint="eastAsia" w:ascii="仿宋_GB2312" w:hAnsi="仿宋_GB2312" w:eastAsia="仿宋_GB2312" w:cs="仿宋_GB2312"/>
          <w:color w:val="auto"/>
          <w:highlight w:val="none"/>
          <w:lang w:val="en-US" w:eastAsia="zh-CN"/>
        </w:rPr>
        <w:t>10</w:t>
      </w:r>
      <w:r>
        <w:rPr>
          <w:rFonts w:hint="eastAsia" w:ascii="仿宋_GB2312" w:hAnsi="仿宋_GB2312" w:eastAsia="仿宋_GB2312" w:cs="仿宋_GB2312"/>
          <w:color w:val="auto"/>
          <w:highlight w:val="none"/>
          <w:lang w:eastAsia="zh-CN"/>
        </w:rPr>
        <w:t>分，自评结果为“优”。</w:t>
      </w:r>
    </w:p>
    <w:p>
      <w:pPr>
        <w:pStyle w:val="4"/>
        <w:spacing w:line="560" w:lineRule="exact"/>
        <w:ind w:firstLine="640" w:firstLineChars="200"/>
        <w:jc w:val="both"/>
        <w:rPr>
          <w:rFonts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lang w:eastAsia="zh-CN"/>
        </w:rPr>
        <w:t>将自评结果作为全过程预算绩效管理的落脚点，及时整理、归纳、分析、反馈绩效自评结果，绩效评价结束后，将绩效评价结果及时反馈给各地市，要求其针对存在问题，完善制度，改进措施，提高管理水平。将绩效评价结果与预算挂钩，结果作为重要因素直接参与医疗救助补助资金分配。</w:t>
      </w:r>
    </w:p>
    <w:p>
      <w:pPr>
        <w:pStyle w:val="4"/>
        <w:spacing w:line="560" w:lineRule="exact"/>
        <w:ind w:firstLine="640" w:firstLineChars="200"/>
        <w:jc w:val="both"/>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3.</w:t>
      </w:r>
      <w:r>
        <w:rPr>
          <w:rFonts w:ascii="Times New Roman" w:hAnsi="Times New Roman" w:eastAsia="仿宋_GB2312"/>
          <w:color w:val="auto"/>
          <w:sz w:val="32"/>
          <w:szCs w:val="32"/>
          <w:highlight w:val="none"/>
        </w:rPr>
        <w:t>评价结果将在自治区</w:t>
      </w:r>
      <w:r>
        <w:rPr>
          <w:rFonts w:hint="eastAsia" w:ascii="Times New Roman" w:hAnsi="Times New Roman" w:eastAsia="仿宋_GB2312"/>
          <w:color w:val="auto"/>
          <w:sz w:val="32"/>
          <w:szCs w:val="32"/>
          <w:highlight w:val="none"/>
          <w:lang w:eastAsia="zh-CN"/>
        </w:rPr>
        <w:t>医疗保障局</w:t>
      </w:r>
      <w:r>
        <w:rPr>
          <w:rFonts w:ascii="Times New Roman" w:hAnsi="Times New Roman" w:eastAsia="仿宋_GB2312"/>
          <w:color w:val="auto"/>
          <w:sz w:val="32"/>
          <w:szCs w:val="32"/>
          <w:highlight w:val="none"/>
        </w:rPr>
        <w:t>、自治区财政厅门户网站进行公示公开，接受社会各界监督。</w:t>
      </w:r>
    </w:p>
    <w:p>
      <w:pPr>
        <w:rPr>
          <w:rFonts w:hint="eastAsia" w:ascii="仿宋_GB2312" w:hAnsi="仿宋_GB2312" w:eastAsia="仿宋_GB2312" w:cs="仿宋_GB2312"/>
          <w:color w:val="auto"/>
          <w:highlight w:val="none"/>
          <w:lang w:eastAsia="zh-CN"/>
        </w:rPr>
      </w:pPr>
    </w:p>
    <w:p>
      <w:pPr>
        <w:pStyle w:val="4"/>
        <w:spacing w:line="560" w:lineRule="exact"/>
        <w:ind w:firstLine="620" w:firstLineChars="200"/>
        <w:jc w:val="both"/>
        <w:rPr>
          <w:rFonts w:ascii="黑体" w:hAnsi="黑体" w:eastAsia="黑体" w:cs="黑体"/>
          <w:color w:val="auto"/>
          <w:spacing w:val="-5"/>
          <w:highlight w:val="none"/>
          <w:lang w:eastAsia="zh-CN"/>
        </w:rPr>
      </w:pPr>
      <w:r>
        <w:rPr>
          <w:rFonts w:hint="eastAsia" w:ascii="黑体" w:hAnsi="黑体" w:eastAsia="黑体" w:cs="黑体"/>
          <w:color w:val="auto"/>
          <w:spacing w:val="-5"/>
          <w:highlight w:val="none"/>
          <w:lang w:eastAsia="zh-CN"/>
        </w:rPr>
        <w:t>五、其他需要说明的问题</w:t>
      </w:r>
    </w:p>
    <w:p>
      <w:pPr>
        <w:pStyle w:val="4"/>
        <w:spacing w:line="560" w:lineRule="exact"/>
        <w:ind w:firstLine="640" w:firstLineChars="200"/>
        <w:jc w:val="both"/>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1.在中央巡视、各级审计和财政监督中未发现问题。</w:t>
      </w:r>
    </w:p>
    <w:p>
      <w:pPr>
        <w:pStyle w:val="4"/>
        <w:spacing w:line="560" w:lineRule="exact"/>
        <w:ind w:firstLine="640" w:firstLineChars="200"/>
        <w:jc w:val="both"/>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应国家医疗保障局要求，此项目进行绩效自评时，指标有所调整，具体情况为：“医保综合监管能力”指标，指标值是按照国家医疗保障局《关于做好基金监管综合评价工作的通知》(医保发〔2022〕31号)进行综合评价。经了解，医保发〔2022〕31号文中所描述的工作2024年全国范围内均未开展，故该指标替换为人社部牵头组织的医疗保障工作考核中的指标“医保基金监管情况”进行绩效自评，并将指标值调整为“基金监管能力逐步提升”。</w:t>
      </w:r>
    </w:p>
    <w:p>
      <w:pPr>
        <w:keepNext w:val="0"/>
        <w:keepLines w:val="0"/>
        <w:pageBreakBefore w:val="0"/>
        <w:widowControl/>
        <w:kinsoku w:val="0"/>
        <w:wordWrap/>
        <w:overflowPunct/>
        <w:topLinePunct w:val="0"/>
        <w:autoSpaceDE w:val="0"/>
        <w:autoSpaceDN w:val="0"/>
        <w:bidi w:val="0"/>
        <w:adjustRightInd w:val="0"/>
        <w:snapToGrid w:val="0"/>
        <w:spacing w:before="234" w:after="157" w:afterLines="50" w:line="560" w:lineRule="exact"/>
        <w:ind w:firstLine="620" w:firstLineChars="200"/>
        <w:textAlignment w:val="baseline"/>
        <w:outlineLvl w:val="0"/>
        <w:rPr>
          <w:rFonts w:hint="eastAsia" w:ascii="黑体" w:hAnsi="黑体" w:eastAsia="黑体" w:cs="黑体"/>
          <w:color w:val="auto"/>
          <w:spacing w:val="-5"/>
          <w:sz w:val="32"/>
          <w:szCs w:val="32"/>
          <w:highlight w:val="none"/>
        </w:rPr>
      </w:pPr>
      <w:r>
        <w:rPr>
          <w:rFonts w:hint="eastAsia" w:ascii="黑体" w:hAnsi="黑体" w:eastAsia="黑体" w:cs="黑体"/>
          <w:color w:val="auto"/>
          <w:spacing w:val="-5"/>
          <w:sz w:val="32"/>
          <w:szCs w:val="32"/>
          <w:highlight w:val="none"/>
        </w:rPr>
        <w:t>六 、附件</w:t>
      </w:r>
    </w:p>
    <w:p>
      <w:pPr>
        <w:pStyle w:val="2"/>
        <w:rPr>
          <w:color w:val="auto"/>
          <w:highlight w:val="none"/>
          <w:lang w:eastAsia="zh-CN"/>
        </w:rPr>
      </w:pPr>
      <w:r>
        <w:rPr>
          <w:rFonts w:hint="default" w:ascii="仿宋_GB2312" w:hAnsi="仿宋_GB2312" w:eastAsia="仿宋_GB2312" w:cs="仿宋_GB2312"/>
          <w:b w:val="0"/>
          <w:bCs w:val="0"/>
          <w:snapToGrid/>
          <w:color w:val="auto"/>
          <w:kern w:val="2"/>
          <w:sz w:val="32"/>
          <w:szCs w:val="32"/>
          <w:highlight w:val="none"/>
          <w:lang w:val="en-US" w:eastAsia="zh-CN" w:bidi="ar-SA"/>
        </w:rPr>
        <w:t>新疆维吾尔自治区医疗救助补助资金（城乡医疗救助部分）</w:t>
      </w:r>
      <w:r>
        <w:rPr>
          <w:rFonts w:hint="eastAsia" w:ascii="仿宋_GB2312" w:hAnsi="仿宋_GB2312" w:eastAsia="仿宋_GB2312" w:cs="仿宋_GB2312"/>
          <w:b w:val="0"/>
          <w:bCs w:val="0"/>
          <w:snapToGrid/>
          <w:color w:val="auto"/>
          <w:kern w:val="2"/>
          <w:sz w:val="32"/>
          <w:szCs w:val="32"/>
          <w:highlight w:val="none"/>
          <w:lang w:val="en-US" w:eastAsia="zh-CN" w:bidi="ar-SA"/>
        </w:rPr>
        <w:t>转移支付区域</w:t>
      </w:r>
      <w:r>
        <w:rPr>
          <w:rFonts w:hint="default" w:ascii="仿宋_GB2312" w:hAnsi="仿宋_GB2312" w:eastAsia="仿宋_GB2312" w:cs="仿宋_GB2312"/>
          <w:b w:val="0"/>
          <w:bCs w:val="0"/>
          <w:snapToGrid/>
          <w:color w:val="auto"/>
          <w:kern w:val="2"/>
          <w:sz w:val="32"/>
          <w:szCs w:val="32"/>
          <w:highlight w:val="none"/>
          <w:lang w:val="en-US" w:eastAsia="zh-CN" w:bidi="ar-SA"/>
        </w:rPr>
        <w:t>绩效自评表</w:t>
      </w:r>
    </w:p>
    <w:p>
      <w:pPr>
        <w:rPr>
          <w:rFonts w:ascii="仿宋_GB2312" w:hAnsi="仿宋_GB2312" w:eastAsia="仿宋_GB2312" w:cs="仿宋_GB2312"/>
          <w:color w:val="auto"/>
          <w:sz w:val="32"/>
          <w:szCs w:val="32"/>
          <w:highlight w:val="none"/>
          <w:lang w:eastAsia="zh-CN"/>
        </w:rPr>
      </w:pPr>
      <w:r>
        <w:rPr>
          <w:rFonts w:ascii="仿宋_GB2312" w:hAnsi="仿宋_GB2312" w:eastAsia="仿宋_GB2312" w:cs="仿宋_GB2312"/>
          <w:color w:val="auto"/>
          <w:sz w:val="32"/>
          <w:szCs w:val="32"/>
          <w:highlight w:val="none"/>
          <w:lang w:eastAsia="zh-CN"/>
        </w:rPr>
        <w:br w:type="page"/>
      </w:r>
    </w:p>
    <w:p>
      <w:pPr>
        <w:pStyle w:val="9"/>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调整后的绩效自评表如下：</w:t>
      </w:r>
    </w:p>
    <w:tbl>
      <w:tblPr>
        <w:tblStyle w:val="7"/>
        <w:tblW w:w="5000" w:type="pct"/>
        <w:tblInd w:w="0" w:type="dxa"/>
        <w:tblLayout w:type="fixed"/>
        <w:tblCellMar>
          <w:top w:w="0" w:type="dxa"/>
          <w:left w:w="108" w:type="dxa"/>
          <w:bottom w:w="0" w:type="dxa"/>
          <w:right w:w="108" w:type="dxa"/>
        </w:tblCellMar>
      </w:tblPr>
      <w:tblGrid>
        <w:gridCol w:w="456"/>
        <w:gridCol w:w="648"/>
        <w:gridCol w:w="1258"/>
        <w:gridCol w:w="1629"/>
        <w:gridCol w:w="1074"/>
        <w:gridCol w:w="1011"/>
        <w:gridCol w:w="1009"/>
        <w:gridCol w:w="1437"/>
      </w:tblGrid>
      <w:tr>
        <w:tblPrEx>
          <w:tblCellMar>
            <w:top w:w="0" w:type="dxa"/>
            <w:left w:w="108" w:type="dxa"/>
            <w:bottom w:w="0" w:type="dxa"/>
            <w:right w:w="108" w:type="dxa"/>
          </w:tblCellMar>
        </w:tblPrEx>
        <w:trPr>
          <w:trHeight w:val="450" w:hRule="atLeast"/>
        </w:trPr>
        <w:tc>
          <w:tcPr>
            <w:tcW w:w="5000" w:type="pct"/>
            <w:gridSpan w:val="8"/>
            <w:tcBorders>
              <w:top w:val="nil"/>
              <w:left w:val="nil"/>
              <w:bottom w:val="nil"/>
              <w:right w:val="nil"/>
            </w:tcBorders>
            <w:shd w:val="clear" w:color="auto" w:fill="auto"/>
          </w:tcPr>
          <w:p>
            <w:pPr>
              <w:jc w:val="center"/>
              <w:textAlignment w:val="top"/>
              <w:rPr>
                <w:b/>
                <w:bCs/>
                <w:color w:val="auto"/>
                <w:sz w:val="32"/>
                <w:szCs w:val="32"/>
                <w:highlight w:val="none"/>
                <w:lang w:eastAsia="zh-CN"/>
              </w:rPr>
            </w:pPr>
            <w:r>
              <w:rPr>
                <w:rStyle w:val="22"/>
                <w:rFonts w:hint="default" w:ascii="仿宋_GB2312" w:hAnsi="仿宋_GB2312" w:eastAsia="仿宋_GB2312" w:cs="仿宋_GB2312"/>
                <w:color w:val="auto"/>
                <w:highlight w:val="none"/>
                <w:lang w:eastAsia="zh-CN"/>
              </w:rPr>
              <w:t>新疆维吾尔自治区医疗救助补助资金（城乡医疗救助部分）绩效自评表</w:t>
            </w:r>
          </w:p>
        </w:tc>
      </w:tr>
      <w:tr>
        <w:tblPrEx>
          <w:tblCellMar>
            <w:top w:w="0" w:type="dxa"/>
            <w:left w:w="108" w:type="dxa"/>
            <w:bottom w:w="0" w:type="dxa"/>
            <w:right w:w="108" w:type="dxa"/>
          </w:tblCellMar>
        </w:tblPrEx>
        <w:trPr>
          <w:trHeight w:val="506" w:hRule="atLeast"/>
        </w:trPr>
        <w:tc>
          <w:tcPr>
            <w:tcW w:w="5000" w:type="pct"/>
            <w:gridSpan w:val="8"/>
            <w:tcBorders>
              <w:top w:val="nil"/>
              <w:left w:val="nil"/>
              <w:bottom w:val="nil"/>
              <w:right w:val="nil"/>
            </w:tcBorders>
            <w:shd w:val="clear" w:color="auto" w:fill="auto"/>
            <w:noWrap/>
            <w:vAlign w:val="bottom"/>
          </w:tcPr>
          <w:p>
            <w:pPr>
              <w:ind w:firstLine="220" w:firstLineChars="100"/>
              <w:jc w:val="center"/>
              <w:textAlignment w:val="top"/>
              <w:rPr>
                <w:rFonts w:ascii="仿宋_GB2312" w:hAnsi="仿宋_GB2312" w:eastAsia="仿宋_GB2312" w:cs="仿宋_GB2312"/>
                <w:color w:val="auto"/>
                <w:sz w:val="18"/>
                <w:szCs w:val="18"/>
                <w:highlight w:val="none"/>
              </w:rPr>
            </w:pPr>
            <w:r>
              <w:rPr>
                <w:rStyle w:val="23"/>
                <w:rFonts w:hint="eastAsia" w:ascii="仿宋_GB2312" w:hAnsi="仿宋_GB2312" w:eastAsia="仿宋_GB2312" w:cs="仿宋_GB2312"/>
                <w:color w:val="auto"/>
                <w:sz w:val="22"/>
                <w:szCs w:val="22"/>
                <w:highlight w:val="none"/>
                <w:lang w:eastAsia="zh-CN"/>
              </w:rPr>
              <w:t>(2024年度)</w:t>
            </w:r>
          </w:p>
        </w:tc>
      </w:tr>
      <w:tr>
        <w:tblPrEx>
          <w:tblCellMar>
            <w:top w:w="0" w:type="dxa"/>
            <w:left w:w="108" w:type="dxa"/>
            <w:bottom w:w="0" w:type="dxa"/>
            <w:right w:w="108" w:type="dxa"/>
          </w:tblCellMar>
        </w:tblPrEx>
        <w:trPr>
          <w:trHeight w:val="485" w:hRule="atLeast"/>
        </w:trPr>
        <w:tc>
          <w:tcPr>
            <w:tcW w:w="13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转移支付(项目)名称</w:t>
            </w:r>
          </w:p>
        </w:tc>
        <w:tc>
          <w:tcPr>
            <w:tcW w:w="36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医疗救助补助资金（城乡医疗救助部分）项目</w:t>
            </w:r>
          </w:p>
        </w:tc>
      </w:tr>
      <w:tr>
        <w:tblPrEx>
          <w:tblCellMar>
            <w:top w:w="0" w:type="dxa"/>
            <w:left w:w="108" w:type="dxa"/>
            <w:bottom w:w="0" w:type="dxa"/>
            <w:right w:w="108" w:type="dxa"/>
          </w:tblCellMar>
        </w:tblPrEx>
        <w:trPr>
          <w:trHeight w:val="280" w:hRule="atLeast"/>
        </w:trPr>
        <w:tc>
          <w:tcPr>
            <w:tcW w:w="13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中央主管部门</w:t>
            </w:r>
          </w:p>
        </w:tc>
        <w:tc>
          <w:tcPr>
            <w:tcW w:w="36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国家医疗保障局</w:t>
            </w:r>
          </w:p>
        </w:tc>
      </w:tr>
      <w:tr>
        <w:tblPrEx>
          <w:tblCellMar>
            <w:top w:w="0" w:type="dxa"/>
            <w:left w:w="108" w:type="dxa"/>
            <w:bottom w:w="0" w:type="dxa"/>
            <w:right w:w="108" w:type="dxa"/>
          </w:tblCellMar>
        </w:tblPrEx>
        <w:trPr>
          <w:trHeight w:val="300" w:hRule="atLeast"/>
        </w:trPr>
        <w:tc>
          <w:tcPr>
            <w:tcW w:w="13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地方主管部门</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新疆维吾尔自治区财政厅</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资金使用单位</w:t>
            </w:r>
          </w:p>
        </w:tc>
        <w:tc>
          <w:tcPr>
            <w:tcW w:w="14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620" w:hRule="atLeast"/>
        </w:trPr>
        <w:tc>
          <w:tcPr>
            <w:tcW w:w="138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资金投入情况</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(万元)</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auto"/>
                <w:sz w:val="20"/>
                <w:szCs w:val="20"/>
                <w:highlight w:val="none"/>
              </w:rPr>
            </w:pP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全年预算数(A)</w:t>
            </w:r>
          </w:p>
        </w:tc>
        <w:tc>
          <w:tcPr>
            <w:tcW w:w="11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全年执行数(B)</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预算执行率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(B/A×100%)</w:t>
            </w:r>
          </w:p>
        </w:tc>
      </w:tr>
      <w:tr>
        <w:tblPrEx>
          <w:tblCellMar>
            <w:top w:w="0" w:type="dxa"/>
            <w:left w:w="108" w:type="dxa"/>
            <w:bottom w:w="0" w:type="dxa"/>
            <w:right w:w="108" w:type="dxa"/>
          </w:tblCellMar>
        </w:tblPrEx>
        <w:trPr>
          <w:trHeight w:val="454"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年度资金总额：</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175812</w:t>
            </w:r>
          </w:p>
        </w:tc>
        <w:tc>
          <w:tcPr>
            <w:tcW w:w="11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171564.18</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97.58%</w:t>
            </w:r>
          </w:p>
        </w:tc>
      </w:tr>
      <w:tr>
        <w:tblPrEx>
          <w:tblCellMar>
            <w:top w:w="0" w:type="dxa"/>
            <w:left w:w="108" w:type="dxa"/>
            <w:bottom w:w="0" w:type="dxa"/>
            <w:right w:w="108" w:type="dxa"/>
          </w:tblCellMar>
        </w:tblPrEx>
        <w:trPr>
          <w:trHeight w:val="454"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其中：中央财政资金</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173812</w:t>
            </w:r>
          </w:p>
        </w:tc>
        <w:tc>
          <w:tcPr>
            <w:tcW w:w="11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169564.18</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97.56%</w:t>
            </w:r>
          </w:p>
        </w:tc>
      </w:tr>
      <w:tr>
        <w:tblPrEx>
          <w:tblCellMar>
            <w:top w:w="0" w:type="dxa"/>
            <w:left w:w="108" w:type="dxa"/>
            <w:bottom w:w="0" w:type="dxa"/>
            <w:right w:w="108" w:type="dxa"/>
          </w:tblCellMar>
        </w:tblPrEx>
        <w:trPr>
          <w:trHeight w:val="454"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righ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地方财政资金</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2000</w:t>
            </w:r>
          </w:p>
        </w:tc>
        <w:tc>
          <w:tcPr>
            <w:tcW w:w="11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100.00%</w:t>
            </w:r>
          </w:p>
        </w:tc>
      </w:tr>
      <w:tr>
        <w:tblPrEx>
          <w:tblCellMar>
            <w:top w:w="0" w:type="dxa"/>
            <w:left w:w="108" w:type="dxa"/>
            <w:bottom w:w="0" w:type="dxa"/>
            <w:right w:w="108" w:type="dxa"/>
          </w:tblCellMar>
        </w:tblPrEx>
        <w:trPr>
          <w:trHeight w:val="454"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其他资金</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11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0.00%</w:t>
            </w:r>
          </w:p>
        </w:tc>
      </w:tr>
      <w:tr>
        <w:tblPrEx>
          <w:tblCellMar>
            <w:top w:w="0" w:type="dxa"/>
            <w:left w:w="108" w:type="dxa"/>
            <w:bottom w:w="0" w:type="dxa"/>
            <w:right w:w="108" w:type="dxa"/>
          </w:tblCellMar>
        </w:tblPrEx>
        <w:trPr>
          <w:trHeight w:val="290" w:hRule="atLeast"/>
        </w:trPr>
        <w:tc>
          <w:tcPr>
            <w:tcW w:w="138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资金管理情况</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auto"/>
                <w:sz w:val="20"/>
                <w:szCs w:val="20"/>
                <w:highlight w:val="none"/>
              </w:rPr>
            </w:pP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情况说明</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存在问题和改进措施</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分配科学性</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严格按照转移支付管理制度以及资金管理办法规定的范围和标准分配资金，资金分配科学。</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下达及时性</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严格按照预算法及其实施条例、转移支付管理制度规定以及资金管理办法规定的时限要求分解下达，资金下达及时。</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拨付合规性</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严格按照国库集中支付制度有关规定支付资金，未出现违规将资金从国库转入财政专户或支付到预算单位实有资金账户等问题，资金拨付合规。</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使用规范性</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严格按照下达预算的科目和项目执行，未出现截留、挤占、挪用或擅自调整等问题，资金使用规范。</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执行准确性</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按照上级下达和本级预算安排的金额执行，不存在执行数偏离预算数较多的问题，资金执行准确。</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预算绩效管理情况</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在细化下达预算时同步下达绩效目标，将有关资金纳入本级预算或对下转移支付绩效管理，开展绩效监控和绩效评价。</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800" w:hRule="atLeast"/>
        </w:trPr>
        <w:tc>
          <w:tcPr>
            <w:tcW w:w="138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支出责任履行情况</w:t>
            </w:r>
          </w:p>
        </w:tc>
        <w:tc>
          <w:tcPr>
            <w:tcW w:w="18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对共同财政事权转移支付，按照财政事权和支出责任划分有关规定，足额安排资金履行本级支出责任。</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31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 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完成</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情况</w:t>
            </w:r>
          </w:p>
        </w:tc>
        <w:tc>
          <w:tcPr>
            <w:tcW w:w="27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总体目标</w:t>
            </w:r>
          </w:p>
        </w:tc>
        <w:tc>
          <w:tcPr>
            <w:tcW w:w="20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全年实际完成情况</w:t>
            </w:r>
          </w:p>
        </w:tc>
      </w:tr>
      <w:tr>
        <w:tblPrEx>
          <w:tblCellMar>
            <w:top w:w="0" w:type="dxa"/>
            <w:left w:w="108" w:type="dxa"/>
            <w:bottom w:w="0" w:type="dxa"/>
            <w:right w:w="108" w:type="dxa"/>
          </w:tblCellMar>
        </w:tblPrEx>
        <w:trPr>
          <w:trHeight w:val="1280"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27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c>
          <w:tcPr>
            <w:tcW w:w="20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通过实施城乡医疗救助，将符合救助条件的对象按规定纳入救助范围，2024年资助参保人员409.21 万人、住院救助112.73万人次、门诊救助127.61万人次。重点救助对象政策范围内个人自付费用年度限额内住院救助比例达到70%。</w:t>
            </w:r>
          </w:p>
        </w:tc>
      </w:tr>
      <w:tr>
        <w:tblPrEx>
          <w:tblCellMar>
            <w:top w:w="0" w:type="dxa"/>
            <w:left w:w="108" w:type="dxa"/>
            <w:bottom w:w="0" w:type="dxa"/>
            <w:right w:w="108" w:type="dxa"/>
          </w:tblCellMar>
        </w:tblPrEx>
        <w:trPr>
          <w:trHeight w:val="480"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绩效指标</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一级</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二级指标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三级指标</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指标值</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成值</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未完成原因和改进措施</w:t>
            </w:r>
          </w:p>
        </w:tc>
      </w:tr>
      <w:tr>
        <w:tblPrEx>
          <w:tblCellMar>
            <w:top w:w="0" w:type="dxa"/>
            <w:left w:w="108" w:type="dxa"/>
            <w:bottom w:w="0" w:type="dxa"/>
            <w:right w:w="108" w:type="dxa"/>
          </w:tblCellMar>
        </w:tblPrEx>
        <w:trPr>
          <w:trHeight w:val="1020"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lang w:eastAsia="zh-CN"/>
              </w:rPr>
            </w:pP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医疗救助对象人次规模</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符合救助条件的对象按规定</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纳入救助范围</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重点救助对象政策范围内个人自付费用年度限额内住院救助比例</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≥70%</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符合资助条件的农村低收入人口资助参保政策覆盖率</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≥99%</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99.94%</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1348"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w:t>
            </w:r>
            <w:r>
              <w:rPr>
                <w:rFonts w:hint="eastAsia" w:ascii="仿宋_GB2312" w:hAnsi="仿宋_GB2312" w:eastAsia="仿宋_GB2312" w:cs="仿宋_GB2312"/>
                <w:color w:val="auto"/>
                <w:sz w:val="20"/>
                <w:szCs w:val="20"/>
                <w:highlight w:val="none"/>
                <w:lang w:val="en-US" w:eastAsia="zh-CN"/>
              </w:rPr>
              <w:t>基金</w:t>
            </w:r>
            <w:r>
              <w:rPr>
                <w:rFonts w:hint="eastAsia" w:ascii="仿宋_GB2312" w:hAnsi="仿宋_GB2312" w:eastAsia="仿宋_GB2312" w:cs="仿宋_GB2312"/>
                <w:color w:val="auto"/>
                <w:sz w:val="20"/>
                <w:szCs w:val="20"/>
                <w:highlight w:val="none"/>
                <w:lang w:eastAsia="zh-CN"/>
              </w:rPr>
              <w:t>监管</w:t>
            </w:r>
            <w:r>
              <w:rPr>
                <w:rFonts w:hint="eastAsia" w:ascii="仿宋_GB2312" w:hAnsi="仿宋_GB2312" w:eastAsia="仿宋_GB2312" w:cs="仿宋_GB2312"/>
                <w:color w:val="auto"/>
                <w:sz w:val="20"/>
                <w:szCs w:val="20"/>
                <w:highlight w:val="none"/>
                <w:lang w:val="en-US" w:eastAsia="zh-CN"/>
              </w:rPr>
              <w:t>情况</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基金监管能力逐步提升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27"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时效指标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市域内“一站式”即时结算覆盖率</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不低于上年</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496"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效益指标</w:t>
            </w: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社会效益指标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城乡医疗救助政策知晓率</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≥80%</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94.6</w:t>
            </w:r>
            <w:r>
              <w:rPr>
                <w:rFonts w:hint="eastAsia" w:ascii="仿宋_GB2312" w:hAnsi="仿宋_GB2312" w:eastAsia="仿宋_GB2312" w:cs="仿宋_GB2312"/>
                <w:color w:val="auto"/>
                <w:sz w:val="20"/>
                <w:szCs w:val="20"/>
                <w:highlight w:val="none"/>
                <w:lang w:eastAsia="zh-CN"/>
              </w:rPr>
              <w:t>%</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27"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困难群众看病就医方便程度</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明显提高</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27"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困难群众医疗费用负担</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有效缓解</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27"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可持续影响指标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对健全社会救助体系的影响</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成效明显</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27"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7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对健全医疗保障制度体系的作用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成效明显</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946"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度指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服务对象满意度指标</w:t>
            </w:r>
          </w:p>
        </w:tc>
        <w:tc>
          <w:tcPr>
            <w:tcW w:w="1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救助对象对救助工作满意度</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≥85%</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96.21</w:t>
            </w:r>
            <w:r>
              <w:rPr>
                <w:rFonts w:hint="eastAsia" w:ascii="仿宋_GB2312" w:hAnsi="仿宋_GB2312" w:eastAsia="仿宋_GB2312" w:cs="仿宋_GB2312"/>
                <w:color w:val="auto"/>
                <w:sz w:val="20"/>
                <w:szCs w:val="20"/>
                <w:highlight w:val="none"/>
                <w:lang w:eastAsia="zh-CN"/>
              </w:rPr>
              <w:t>%</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28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说明</w:t>
            </w:r>
          </w:p>
        </w:tc>
        <w:tc>
          <w:tcPr>
            <w:tcW w:w="47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bl>
    <w:p>
      <w:pPr>
        <w:rPr>
          <w:color w:val="auto"/>
          <w:highlight w:val="none"/>
        </w:rPr>
      </w:pPr>
    </w:p>
    <w:p>
      <w:pPr>
        <w:rPr>
          <w:color w:val="auto"/>
          <w:highlight w:val="none"/>
        </w:rPr>
      </w:pPr>
      <w:r>
        <w:rPr>
          <w:color w:val="auto"/>
          <w:highlight w:val="none"/>
        </w:rPr>
        <w:br w:type="page"/>
      </w:r>
    </w:p>
    <w:p>
      <w:pPr>
        <w:pStyle w:val="9"/>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原绩效自评表如下：</w:t>
      </w:r>
    </w:p>
    <w:tbl>
      <w:tblPr>
        <w:tblStyle w:val="7"/>
        <w:tblW w:w="5000" w:type="pct"/>
        <w:tblInd w:w="0" w:type="dxa"/>
        <w:tblLayout w:type="fixed"/>
        <w:tblCellMar>
          <w:top w:w="0" w:type="dxa"/>
          <w:left w:w="108" w:type="dxa"/>
          <w:bottom w:w="0" w:type="dxa"/>
          <w:right w:w="108" w:type="dxa"/>
        </w:tblCellMar>
      </w:tblPr>
      <w:tblGrid>
        <w:gridCol w:w="786"/>
        <w:gridCol w:w="662"/>
        <w:gridCol w:w="800"/>
        <w:gridCol w:w="1625"/>
        <w:gridCol w:w="1192"/>
        <w:gridCol w:w="1483"/>
        <w:gridCol w:w="750"/>
        <w:gridCol w:w="1224"/>
      </w:tblGrid>
      <w:tr>
        <w:tblPrEx>
          <w:tblCellMar>
            <w:top w:w="0" w:type="dxa"/>
            <w:left w:w="108" w:type="dxa"/>
            <w:bottom w:w="0" w:type="dxa"/>
            <w:right w:w="108" w:type="dxa"/>
          </w:tblCellMar>
        </w:tblPrEx>
        <w:trPr>
          <w:trHeight w:val="450" w:hRule="atLeast"/>
        </w:trPr>
        <w:tc>
          <w:tcPr>
            <w:tcW w:w="5000" w:type="pct"/>
            <w:gridSpan w:val="8"/>
            <w:tcBorders>
              <w:top w:val="nil"/>
              <w:left w:val="nil"/>
              <w:bottom w:val="nil"/>
              <w:right w:val="nil"/>
            </w:tcBorders>
            <w:shd w:val="clear" w:color="auto" w:fill="auto"/>
          </w:tcPr>
          <w:p>
            <w:pPr>
              <w:jc w:val="center"/>
              <w:textAlignment w:val="top"/>
              <w:rPr>
                <w:b/>
                <w:bCs/>
                <w:color w:val="auto"/>
                <w:sz w:val="32"/>
                <w:szCs w:val="32"/>
                <w:highlight w:val="none"/>
                <w:lang w:eastAsia="zh-CN"/>
              </w:rPr>
            </w:pPr>
            <w:r>
              <w:rPr>
                <w:rStyle w:val="22"/>
                <w:rFonts w:hint="default" w:ascii="仿宋_GB2312" w:hAnsi="仿宋_GB2312" w:eastAsia="仿宋_GB2312" w:cs="仿宋_GB2312"/>
                <w:color w:val="auto"/>
                <w:highlight w:val="none"/>
                <w:lang w:eastAsia="zh-CN"/>
              </w:rPr>
              <w:t>新疆维吾尔自治区医疗救助补助资金（城乡医疗救助部分）绩效自评表</w:t>
            </w:r>
          </w:p>
        </w:tc>
      </w:tr>
      <w:tr>
        <w:tblPrEx>
          <w:tblCellMar>
            <w:top w:w="0" w:type="dxa"/>
            <w:left w:w="108" w:type="dxa"/>
            <w:bottom w:w="0" w:type="dxa"/>
            <w:right w:w="108" w:type="dxa"/>
          </w:tblCellMar>
        </w:tblPrEx>
        <w:trPr>
          <w:trHeight w:val="506" w:hRule="atLeast"/>
        </w:trPr>
        <w:tc>
          <w:tcPr>
            <w:tcW w:w="5000" w:type="pct"/>
            <w:gridSpan w:val="8"/>
            <w:tcBorders>
              <w:top w:val="nil"/>
              <w:left w:val="nil"/>
              <w:bottom w:val="nil"/>
              <w:right w:val="nil"/>
            </w:tcBorders>
            <w:shd w:val="clear" w:color="auto" w:fill="auto"/>
            <w:noWrap/>
            <w:vAlign w:val="bottom"/>
          </w:tcPr>
          <w:p>
            <w:pPr>
              <w:ind w:firstLine="220" w:firstLineChars="100"/>
              <w:jc w:val="center"/>
              <w:textAlignment w:val="top"/>
              <w:rPr>
                <w:rFonts w:ascii="仿宋_GB2312" w:hAnsi="仿宋_GB2312" w:eastAsia="仿宋_GB2312" w:cs="仿宋_GB2312"/>
                <w:color w:val="auto"/>
                <w:sz w:val="18"/>
                <w:szCs w:val="18"/>
                <w:highlight w:val="none"/>
              </w:rPr>
            </w:pPr>
            <w:r>
              <w:rPr>
                <w:rStyle w:val="23"/>
                <w:rFonts w:hint="eastAsia" w:ascii="仿宋_GB2312" w:hAnsi="仿宋_GB2312" w:eastAsia="仿宋_GB2312" w:cs="仿宋_GB2312"/>
                <w:color w:val="auto"/>
                <w:sz w:val="22"/>
                <w:szCs w:val="22"/>
                <w:highlight w:val="none"/>
                <w:lang w:eastAsia="zh-CN"/>
              </w:rPr>
              <w:t>(2024年度)</w:t>
            </w:r>
          </w:p>
        </w:tc>
      </w:tr>
      <w:tr>
        <w:tblPrEx>
          <w:tblCellMar>
            <w:top w:w="0" w:type="dxa"/>
            <w:left w:w="108" w:type="dxa"/>
            <w:bottom w:w="0" w:type="dxa"/>
            <w:right w:w="108" w:type="dxa"/>
          </w:tblCellMar>
        </w:tblPrEx>
        <w:trPr>
          <w:trHeight w:val="485" w:hRule="atLeast"/>
        </w:trPr>
        <w:tc>
          <w:tcPr>
            <w:tcW w:w="13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转移支付(项目)名称</w:t>
            </w:r>
          </w:p>
        </w:tc>
        <w:tc>
          <w:tcPr>
            <w:tcW w:w="36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医疗救助补助资金（城乡医疗救助部分）项目</w:t>
            </w:r>
          </w:p>
        </w:tc>
      </w:tr>
      <w:tr>
        <w:tblPrEx>
          <w:tblCellMar>
            <w:top w:w="0" w:type="dxa"/>
            <w:left w:w="108" w:type="dxa"/>
            <w:bottom w:w="0" w:type="dxa"/>
            <w:right w:w="108" w:type="dxa"/>
          </w:tblCellMar>
        </w:tblPrEx>
        <w:trPr>
          <w:trHeight w:val="280" w:hRule="atLeast"/>
        </w:trPr>
        <w:tc>
          <w:tcPr>
            <w:tcW w:w="13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中央主管部门</w:t>
            </w:r>
          </w:p>
        </w:tc>
        <w:tc>
          <w:tcPr>
            <w:tcW w:w="36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国家医疗保障局</w:t>
            </w:r>
          </w:p>
        </w:tc>
      </w:tr>
      <w:tr>
        <w:tblPrEx>
          <w:tblCellMar>
            <w:top w:w="0" w:type="dxa"/>
            <w:left w:w="108" w:type="dxa"/>
            <w:bottom w:w="0" w:type="dxa"/>
            <w:right w:w="108" w:type="dxa"/>
          </w:tblCellMar>
        </w:tblPrEx>
        <w:trPr>
          <w:trHeight w:val="300" w:hRule="atLeast"/>
        </w:trPr>
        <w:tc>
          <w:tcPr>
            <w:tcW w:w="13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地方主管部门</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新疆维吾尔自治区财政厅</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资金使用单位</w:t>
            </w:r>
          </w:p>
        </w:tc>
        <w:tc>
          <w:tcPr>
            <w:tcW w:w="11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620" w:hRule="atLeast"/>
        </w:trPr>
        <w:tc>
          <w:tcPr>
            <w:tcW w:w="131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资金投入情况</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(万元)</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auto"/>
                <w:sz w:val="20"/>
                <w:szCs w:val="20"/>
                <w:highlight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全年预算数(A)</w:t>
            </w: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全年执行数(B)</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预算执行率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(B/A×100%)</w:t>
            </w:r>
          </w:p>
        </w:tc>
      </w:tr>
      <w:tr>
        <w:tblPrEx>
          <w:tblCellMar>
            <w:top w:w="0" w:type="dxa"/>
            <w:left w:w="108" w:type="dxa"/>
            <w:bottom w:w="0" w:type="dxa"/>
            <w:right w:w="108" w:type="dxa"/>
          </w:tblCellMar>
        </w:tblPrEx>
        <w:trPr>
          <w:trHeight w:val="454"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年度资金总额：</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54"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其中：中央财政资金</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64"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righ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地方财政资金</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29"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其他资金</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13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290" w:hRule="atLeast"/>
        </w:trPr>
        <w:tc>
          <w:tcPr>
            <w:tcW w:w="131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资金管理情况</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auto"/>
                <w:sz w:val="20"/>
                <w:szCs w:val="20"/>
                <w:highlight w:val="none"/>
              </w:rPr>
            </w:pP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情况说明</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存在问题和改进措施</w:t>
            </w:r>
          </w:p>
        </w:tc>
      </w:tr>
      <w:tr>
        <w:tblPrEx>
          <w:tblCellMar>
            <w:top w:w="0" w:type="dxa"/>
            <w:left w:w="108" w:type="dxa"/>
            <w:bottom w:w="0" w:type="dxa"/>
            <w:right w:w="108" w:type="dxa"/>
          </w:tblCellMar>
        </w:tblPrEx>
        <w:trPr>
          <w:trHeight w:val="477"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分配科学性</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40"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下达及时性</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40"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拨付合规性</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92"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使用规范性</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80"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执行准确性</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77"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预算绩效管理情况</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28" w:hRule="atLeast"/>
        </w:trPr>
        <w:tc>
          <w:tcPr>
            <w:tcW w:w="13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支出责任履行情况</w:t>
            </w:r>
          </w:p>
        </w:tc>
        <w:tc>
          <w:tcPr>
            <w:tcW w:w="20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313" w:hRule="atLeast"/>
        </w:trPr>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完成</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情况</w:t>
            </w:r>
          </w:p>
        </w:tc>
        <w:tc>
          <w:tcPr>
            <w:tcW w:w="251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总体目标</w:t>
            </w:r>
          </w:p>
        </w:tc>
        <w:tc>
          <w:tcPr>
            <w:tcW w:w="20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全年实际完成情况</w:t>
            </w:r>
          </w:p>
        </w:tc>
      </w:tr>
      <w:tr>
        <w:tblPrEx>
          <w:tblCellMar>
            <w:top w:w="0" w:type="dxa"/>
            <w:left w:w="108" w:type="dxa"/>
            <w:bottom w:w="0" w:type="dxa"/>
            <w:right w:w="108" w:type="dxa"/>
          </w:tblCellMar>
        </w:tblPrEx>
        <w:trPr>
          <w:trHeight w:val="9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251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通过实施城乡医疗救助，医疗救助对象人次规模保持合理水平，重点救助对象政策范围内个人自付费用年度限额内住院救助比例达到70%。</w:t>
            </w:r>
          </w:p>
        </w:tc>
        <w:tc>
          <w:tcPr>
            <w:tcW w:w="20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p>
        </w:tc>
      </w:tr>
      <w:tr>
        <w:tblPrEx>
          <w:tblCellMar>
            <w:top w:w="0" w:type="dxa"/>
            <w:left w:w="108" w:type="dxa"/>
            <w:bottom w:w="0" w:type="dxa"/>
            <w:right w:w="108" w:type="dxa"/>
          </w:tblCellMar>
        </w:tblPrEx>
        <w:trPr>
          <w:trHeight w:val="728" w:hRule="atLeast"/>
        </w:trPr>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绩效指标</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一级</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二级指标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三级指标</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指标值</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全年实际完成值</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未完成原因和改进措施</w:t>
            </w:r>
          </w:p>
        </w:tc>
      </w:tr>
      <w:tr>
        <w:tblPrEx>
          <w:tblCellMar>
            <w:top w:w="0" w:type="dxa"/>
            <w:left w:w="108" w:type="dxa"/>
            <w:bottom w:w="0" w:type="dxa"/>
            <w:right w:w="108" w:type="dxa"/>
          </w:tblCellMar>
        </w:tblPrEx>
        <w:trPr>
          <w:trHeight w:val="102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lang w:eastAsia="zh-CN"/>
              </w:rPr>
            </w:pP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医疗救助对象人次规模</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符合救助条件的对象按规定纳入救助范围</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60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重点救助对象政策范围内个人自付费用年度限额内住院救助比例</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60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符合资助条件的农村低收入人口资助参保政策覆盖率</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≥99%</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1348"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医保综合监管能力</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eastAsia="zh-CN"/>
              </w:rPr>
              <w:t>按照《国家医疗保障局关于做好基金监管综合评价工作的通知》(医保发〔2022〕31号)进行综合评价</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227"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时效指标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市域内“一站式”即时结算覆盖率</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不低于上年</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1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效益指标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社会效益指标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城乡医疗救助政策知晓率</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1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困难群众看病就医方便程度</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明显提高</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1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困难群众医疗费用负担</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有效缓解</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1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可持续影响指标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对健全社会救助体系的影响</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成效明显</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1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对健全医疗保障制度体系的作用</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成效明显</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1124"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仿宋_GB2312" w:eastAsia="仿宋_GB2312" w:cs="仿宋_GB2312"/>
                <w:color w:val="auto"/>
                <w:sz w:val="20"/>
                <w:szCs w:val="20"/>
                <w:highlight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度指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服务对象满意度指标</w:t>
            </w:r>
          </w:p>
        </w:tc>
        <w:tc>
          <w:tcPr>
            <w:tcW w:w="1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救助对象对救助工作满意度</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68"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说明</w:t>
            </w:r>
          </w:p>
        </w:tc>
        <w:tc>
          <w:tcPr>
            <w:tcW w:w="453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bl>
    <w:p>
      <w:pPr>
        <w:pStyle w:val="9"/>
        <w:rPr>
          <w:color w:val="auto"/>
          <w:highlight w:val="none"/>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A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sz w:val="21"/>
                              <w:szCs w:val="24"/>
                            </w:rPr>
                          </w:pPr>
                          <w:r>
                            <w:rPr>
                              <w:sz w:val="21"/>
                              <w:szCs w:val="24"/>
                            </w:rPr>
                            <w:fldChar w:fldCharType="begin"/>
                          </w:r>
                          <w:r>
                            <w:rPr>
                              <w:sz w:val="21"/>
                              <w:szCs w:val="24"/>
                            </w:rPr>
                            <w:instrText xml:space="preserve"> PAGE  \* MERGEFORMAT </w:instrText>
                          </w:r>
                          <w:r>
                            <w:rPr>
                              <w:sz w:val="21"/>
                              <w:szCs w:val="24"/>
                            </w:rPr>
                            <w:fldChar w:fldCharType="separate"/>
                          </w:r>
                          <w:r>
                            <w:rPr>
                              <w:sz w:val="21"/>
                              <w:szCs w:val="24"/>
                            </w:rPr>
                            <w:t>1</w:t>
                          </w:r>
                          <w:r>
                            <w:rPr>
                              <w:sz w:val="21"/>
                              <w:szCs w:val="24"/>
                            </w:rP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5"/>
                      <w:rPr>
                        <w:sz w:val="21"/>
                        <w:szCs w:val="24"/>
                      </w:rPr>
                    </w:pPr>
                    <w:r>
                      <w:rPr>
                        <w:sz w:val="21"/>
                        <w:szCs w:val="24"/>
                      </w:rPr>
                      <w:fldChar w:fldCharType="begin"/>
                    </w:r>
                    <w:r>
                      <w:rPr>
                        <w:sz w:val="21"/>
                        <w:szCs w:val="24"/>
                      </w:rPr>
                      <w:instrText xml:space="preserve"> PAGE  \* MERGEFORMAT </w:instrText>
                    </w:r>
                    <w:r>
                      <w:rPr>
                        <w:sz w:val="21"/>
                        <w:szCs w:val="24"/>
                      </w:rPr>
                      <w:fldChar w:fldCharType="separate"/>
                    </w:r>
                    <w:r>
                      <w:rPr>
                        <w:sz w:val="21"/>
                        <w:szCs w:val="24"/>
                      </w:rPr>
                      <w:t>1</w:t>
                    </w:r>
                    <w:r>
                      <w:rPr>
                        <w:sz w:val="21"/>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829C9"/>
    <w:multiLevelType w:val="singleLevel"/>
    <w:tmpl w:val="9B4829C9"/>
    <w:lvl w:ilvl="0" w:tentative="0">
      <w:start w:val="1"/>
      <w:numFmt w:val="chineseCounting"/>
      <w:suff w:val="nothing"/>
      <w:lvlText w:val="（%1）"/>
      <w:lvlJc w:val="left"/>
      <w:rPr>
        <w:rFonts w:hint="eastAsia"/>
      </w:rPr>
    </w:lvl>
  </w:abstractNum>
  <w:abstractNum w:abstractNumId="1">
    <w:nsid w:val="A9444475"/>
    <w:multiLevelType w:val="singleLevel"/>
    <w:tmpl w:val="A9444475"/>
    <w:lvl w:ilvl="0" w:tentative="0">
      <w:start w:val="1"/>
      <w:numFmt w:val="decimal"/>
      <w:lvlText w:val="%1."/>
      <w:lvlJc w:val="left"/>
      <w:pPr>
        <w:tabs>
          <w:tab w:val="left" w:pos="312"/>
        </w:tabs>
      </w:pPr>
    </w:lvl>
  </w:abstractNum>
  <w:abstractNum w:abstractNumId="2">
    <w:nsid w:val="7D8DAC73"/>
    <w:multiLevelType w:val="singleLevel"/>
    <w:tmpl w:val="7D8DAC73"/>
    <w:lvl w:ilvl="0" w:tentative="0">
      <w:start w:val="1"/>
      <w:numFmt w:val="chineseCounting"/>
      <w:suff w:val="nothing"/>
      <w:lvlText w:val="（%1）"/>
      <w:lvlJc w:val="left"/>
      <w:pPr>
        <w:ind w:left="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5NWIyZmFkN2M5NDk0NDRiYjliMzI2YTY0MmFkNjIifQ=="/>
  </w:docVars>
  <w:rsids>
    <w:rsidRoot w:val="00B54875"/>
    <w:rsid w:val="002476EC"/>
    <w:rsid w:val="002C0F93"/>
    <w:rsid w:val="00306BFA"/>
    <w:rsid w:val="003F23CE"/>
    <w:rsid w:val="00703889"/>
    <w:rsid w:val="0080653C"/>
    <w:rsid w:val="009269A2"/>
    <w:rsid w:val="00997F25"/>
    <w:rsid w:val="00A6730E"/>
    <w:rsid w:val="00AD203D"/>
    <w:rsid w:val="00B54875"/>
    <w:rsid w:val="00B74FEA"/>
    <w:rsid w:val="00C81DFD"/>
    <w:rsid w:val="00ED152C"/>
    <w:rsid w:val="00FA20E1"/>
    <w:rsid w:val="00FB179F"/>
    <w:rsid w:val="01F82835"/>
    <w:rsid w:val="026659F0"/>
    <w:rsid w:val="03BE7AAE"/>
    <w:rsid w:val="03EA4DC8"/>
    <w:rsid w:val="05852631"/>
    <w:rsid w:val="05BE5B43"/>
    <w:rsid w:val="05CC0260"/>
    <w:rsid w:val="05E91D54"/>
    <w:rsid w:val="068C3995"/>
    <w:rsid w:val="07BF54DD"/>
    <w:rsid w:val="083420ED"/>
    <w:rsid w:val="085A4D64"/>
    <w:rsid w:val="09CD0C7E"/>
    <w:rsid w:val="0A71587A"/>
    <w:rsid w:val="0B9263C7"/>
    <w:rsid w:val="0C29011A"/>
    <w:rsid w:val="0C8A2C23"/>
    <w:rsid w:val="0CA80DAD"/>
    <w:rsid w:val="0CD30126"/>
    <w:rsid w:val="0CD338CF"/>
    <w:rsid w:val="0D4E1D63"/>
    <w:rsid w:val="0DAE46EF"/>
    <w:rsid w:val="0E6179B4"/>
    <w:rsid w:val="0EA7130F"/>
    <w:rsid w:val="0ED50C4E"/>
    <w:rsid w:val="0EF56A7A"/>
    <w:rsid w:val="0FA77AC3"/>
    <w:rsid w:val="1112768F"/>
    <w:rsid w:val="11B31E38"/>
    <w:rsid w:val="11BA48BC"/>
    <w:rsid w:val="1211457D"/>
    <w:rsid w:val="12527D3F"/>
    <w:rsid w:val="1299771C"/>
    <w:rsid w:val="14997EA7"/>
    <w:rsid w:val="14F7669F"/>
    <w:rsid w:val="15995C85"/>
    <w:rsid w:val="159D5775"/>
    <w:rsid w:val="178B3358"/>
    <w:rsid w:val="181C1467"/>
    <w:rsid w:val="183323C1"/>
    <w:rsid w:val="18E309DB"/>
    <w:rsid w:val="19410669"/>
    <w:rsid w:val="19D07778"/>
    <w:rsid w:val="19D35C0A"/>
    <w:rsid w:val="19E82D37"/>
    <w:rsid w:val="1A8218AD"/>
    <w:rsid w:val="1ABD5F72"/>
    <w:rsid w:val="1C273FEB"/>
    <w:rsid w:val="1C9B0535"/>
    <w:rsid w:val="1C9D24FF"/>
    <w:rsid w:val="1CB93D34"/>
    <w:rsid w:val="1D266050"/>
    <w:rsid w:val="1D813BCE"/>
    <w:rsid w:val="1E206F43"/>
    <w:rsid w:val="1EDD63B3"/>
    <w:rsid w:val="1F152820"/>
    <w:rsid w:val="1F784621"/>
    <w:rsid w:val="1FC85ADD"/>
    <w:rsid w:val="21696E53"/>
    <w:rsid w:val="229F0C4D"/>
    <w:rsid w:val="22ED3A86"/>
    <w:rsid w:val="231F3C6E"/>
    <w:rsid w:val="23891DF0"/>
    <w:rsid w:val="23916BD0"/>
    <w:rsid w:val="23AC3027"/>
    <w:rsid w:val="23EE0451"/>
    <w:rsid w:val="249E6E14"/>
    <w:rsid w:val="24AF4B7D"/>
    <w:rsid w:val="24E46F1D"/>
    <w:rsid w:val="255F65A3"/>
    <w:rsid w:val="258E0C37"/>
    <w:rsid w:val="25B83F05"/>
    <w:rsid w:val="25C74149"/>
    <w:rsid w:val="25DC54C5"/>
    <w:rsid w:val="264F6BBB"/>
    <w:rsid w:val="26883D39"/>
    <w:rsid w:val="27677841"/>
    <w:rsid w:val="27A6495D"/>
    <w:rsid w:val="27FC27CF"/>
    <w:rsid w:val="287C6B67"/>
    <w:rsid w:val="28D472A8"/>
    <w:rsid w:val="2900496C"/>
    <w:rsid w:val="294837F2"/>
    <w:rsid w:val="29A94291"/>
    <w:rsid w:val="29CE620A"/>
    <w:rsid w:val="2B255B99"/>
    <w:rsid w:val="2BF81500"/>
    <w:rsid w:val="2C2C1183"/>
    <w:rsid w:val="2C5D65DB"/>
    <w:rsid w:val="2D076C17"/>
    <w:rsid w:val="2D5B7F98"/>
    <w:rsid w:val="2D6538D9"/>
    <w:rsid w:val="2D8D1BE2"/>
    <w:rsid w:val="2D94788D"/>
    <w:rsid w:val="2DF334CC"/>
    <w:rsid w:val="2F1F109A"/>
    <w:rsid w:val="2F6649D2"/>
    <w:rsid w:val="2FC75471"/>
    <w:rsid w:val="2FDB716E"/>
    <w:rsid w:val="2FE83639"/>
    <w:rsid w:val="300F506A"/>
    <w:rsid w:val="302B7682"/>
    <w:rsid w:val="30C16364"/>
    <w:rsid w:val="31081922"/>
    <w:rsid w:val="31224929"/>
    <w:rsid w:val="31FD7535"/>
    <w:rsid w:val="32AE46C6"/>
    <w:rsid w:val="32BB6DE3"/>
    <w:rsid w:val="32DA54BB"/>
    <w:rsid w:val="33A63954"/>
    <w:rsid w:val="33AB6E58"/>
    <w:rsid w:val="34275A56"/>
    <w:rsid w:val="34525DA8"/>
    <w:rsid w:val="346E05B1"/>
    <w:rsid w:val="35487C52"/>
    <w:rsid w:val="359849D9"/>
    <w:rsid w:val="35DE3108"/>
    <w:rsid w:val="36597A41"/>
    <w:rsid w:val="368C291E"/>
    <w:rsid w:val="3838237A"/>
    <w:rsid w:val="384B29B7"/>
    <w:rsid w:val="38C21110"/>
    <w:rsid w:val="39475874"/>
    <w:rsid w:val="39570DCA"/>
    <w:rsid w:val="399520C0"/>
    <w:rsid w:val="39CA4E68"/>
    <w:rsid w:val="39FF7EFD"/>
    <w:rsid w:val="3A137505"/>
    <w:rsid w:val="3A63746E"/>
    <w:rsid w:val="3AA11540"/>
    <w:rsid w:val="3B7D4E4D"/>
    <w:rsid w:val="3BCD02B3"/>
    <w:rsid w:val="3BEC4947"/>
    <w:rsid w:val="3C44609B"/>
    <w:rsid w:val="3C4E0CC8"/>
    <w:rsid w:val="3C646CED"/>
    <w:rsid w:val="3C837A9F"/>
    <w:rsid w:val="3CC01FFC"/>
    <w:rsid w:val="3E751438"/>
    <w:rsid w:val="3EA40854"/>
    <w:rsid w:val="3F322313"/>
    <w:rsid w:val="3F4B2DEB"/>
    <w:rsid w:val="3FEA0663"/>
    <w:rsid w:val="41EA7778"/>
    <w:rsid w:val="41FF496F"/>
    <w:rsid w:val="43435403"/>
    <w:rsid w:val="43B753A5"/>
    <w:rsid w:val="44A27E03"/>
    <w:rsid w:val="44BC0EC5"/>
    <w:rsid w:val="44F00B6E"/>
    <w:rsid w:val="45611A6C"/>
    <w:rsid w:val="46024692"/>
    <w:rsid w:val="461C307E"/>
    <w:rsid w:val="467D0B27"/>
    <w:rsid w:val="46FB7F8A"/>
    <w:rsid w:val="47281438"/>
    <w:rsid w:val="495C2C76"/>
    <w:rsid w:val="49C10D2B"/>
    <w:rsid w:val="4A033890"/>
    <w:rsid w:val="4A362BFD"/>
    <w:rsid w:val="4B3A0D95"/>
    <w:rsid w:val="4BA6467C"/>
    <w:rsid w:val="4C0862C0"/>
    <w:rsid w:val="4C0D2C73"/>
    <w:rsid w:val="4C804ECE"/>
    <w:rsid w:val="4D07739D"/>
    <w:rsid w:val="4D2543F3"/>
    <w:rsid w:val="4D297313"/>
    <w:rsid w:val="4EF23B2D"/>
    <w:rsid w:val="4F5D32A4"/>
    <w:rsid w:val="500D6A78"/>
    <w:rsid w:val="51360251"/>
    <w:rsid w:val="5140185C"/>
    <w:rsid w:val="514C1273"/>
    <w:rsid w:val="515C3A4F"/>
    <w:rsid w:val="51E474F5"/>
    <w:rsid w:val="521C06AD"/>
    <w:rsid w:val="52267BB8"/>
    <w:rsid w:val="52354064"/>
    <w:rsid w:val="52495D62"/>
    <w:rsid w:val="535D3873"/>
    <w:rsid w:val="53EE4E13"/>
    <w:rsid w:val="540813F0"/>
    <w:rsid w:val="54176117"/>
    <w:rsid w:val="5429409D"/>
    <w:rsid w:val="54535DAA"/>
    <w:rsid w:val="54745318"/>
    <w:rsid w:val="54A61249"/>
    <w:rsid w:val="54A6749B"/>
    <w:rsid w:val="55186722"/>
    <w:rsid w:val="56D57BC4"/>
    <w:rsid w:val="5796443F"/>
    <w:rsid w:val="57A557E8"/>
    <w:rsid w:val="57B7E034"/>
    <w:rsid w:val="59B64B36"/>
    <w:rsid w:val="5A5E0C6A"/>
    <w:rsid w:val="5A830766"/>
    <w:rsid w:val="5AAD1584"/>
    <w:rsid w:val="5B2A3572"/>
    <w:rsid w:val="5C98591B"/>
    <w:rsid w:val="5CDA5F34"/>
    <w:rsid w:val="5CE648D9"/>
    <w:rsid w:val="5CF4442B"/>
    <w:rsid w:val="5CF76AE6"/>
    <w:rsid w:val="5D310E1F"/>
    <w:rsid w:val="5D317F75"/>
    <w:rsid w:val="5DB7121C"/>
    <w:rsid w:val="5E162F9C"/>
    <w:rsid w:val="5E3D2C1E"/>
    <w:rsid w:val="5EA06D09"/>
    <w:rsid w:val="5EDE21D0"/>
    <w:rsid w:val="5EE22BC7"/>
    <w:rsid w:val="5F791158"/>
    <w:rsid w:val="5FB9016B"/>
    <w:rsid w:val="5FE7666D"/>
    <w:rsid w:val="606B34C9"/>
    <w:rsid w:val="60F11F19"/>
    <w:rsid w:val="61316F6E"/>
    <w:rsid w:val="613B204E"/>
    <w:rsid w:val="61461DEA"/>
    <w:rsid w:val="62104200"/>
    <w:rsid w:val="62500A46"/>
    <w:rsid w:val="629C48EA"/>
    <w:rsid w:val="635D78BF"/>
    <w:rsid w:val="636E73D6"/>
    <w:rsid w:val="639F114F"/>
    <w:rsid w:val="64A91E52"/>
    <w:rsid w:val="64BC23C3"/>
    <w:rsid w:val="64F47DAF"/>
    <w:rsid w:val="65220D44"/>
    <w:rsid w:val="65904F5A"/>
    <w:rsid w:val="65B0017A"/>
    <w:rsid w:val="6603588E"/>
    <w:rsid w:val="66F56294"/>
    <w:rsid w:val="67340937"/>
    <w:rsid w:val="67801530"/>
    <w:rsid w:val="67C41CBB"/>
    <w:rsid w:val="67CC5B1E"/>
    <w:rsid w:val="67D30150"/>
    <w:rsid w:val="689C49E5"/>
    <w:rsid w:val="68DF1D1E"/>
    <w:rsid w:val="69690D6B"/>
    <w:rsid w:val="6A38581C"/>
    <w:rsid w:val="6A6A1598"/>
    <w:rsid w:val="6BAC543E"/>
    <w:rsid w:val="6BB426C1"/>
    <w:rsid w:val="6C4369B9"/>
    <w:rsid w:val="6D602485"/>
    <w:rsid w:val="6E0A419F"/>
    <w:rsid w:val="6EDB1192"/>
    <w:rsid w:val="6EFF3423"/>
    <w:rsid w:val="6EFF7129"/>
    <w:rsid w:val="6F00275F"/>
    <w:rsid w:val="6F1352D6"/>
    <w:rsid w:val="6F1E43A6"/>
    <w:rsid w:val="6FC71343"/>
    <w:rsid w:val="70516470"/>
    <w:rsid w:val="70737AAA"/>
    <w:rsid w:val="708446DD"/>
    <w:rsid w:val="70887336"/>
    <w:rsid w:val="70B84A86"/>
    <w:rsid w:val="70BC5C25"/>
    <w:rsid w:val="70CF2B23"/>
    <w:rsid w:val="7141513D"/>
    <w:rsid w:val="719B7F30"/>
    <w:rsid w:val="727B40DB"/>
    <w:rsid w:val="7304598C"/>
    <w:rsid w:val="73973553"/>
    <w:rsid w:val="7399101D"/>
    <w:rsid w:val="73B057E9"/>
    <w:rsid w:val="75383CE8"/>
    <w:rsid w:val="75721C44"/>
    <w:rsid w:val="759926FC"/>
    <w:rsid w:val="75BB63F3"/>
    <w:rsid w:val="75D80B91"/>
    <w:rsid w:val="76810272"/>
    <w:rsid w:val="7709593C"/>
    <w:rsid w:val="77112A42"/>
    <w:rsid w:val="7714326D"/>
    <w:rsid w:val="772C33D8"/>
    <w:rsid w:val="776B5CAF"/>
    <w:rsid w:val="77737259"/>
    <w:rsid w:val="77FE6B23"/>
    <w:rsid w:val="780500ED"/>
    <w:rsid w:val="78540E39"/>
    <w:rsid w:val="78A808BF"/>
    <w:rsid w:val="78F60EA4"/>
    <w:rsid w:val="79515378"/>
    <w:rsid w:val="7A010B4C"/>
    <w:rsid w:val="7A353921"/>
    <w:rsid w:val="7A4B4428"/>
    <w:rsid w:val="7A7237F8"/>
    <w:rsid w:val="7AC758F2"/>
    <w:rsid w:val="7AD64389"/>
    <w:rsid w:val="7B5D0004"/>
    <w:rsid w:val="7B95FCAB"/>
    <w:rsid w:val="7BB51BEE"/>
    <w:rsid w:val="7BD25C04"/>
    <w:rsid w:val="7C010BFB"/>
    <w:rsid w:val="7C490589"/>
    <w:rsid w:val="7C8D4280"/>
    <w:rsid w:val="7C9932BE"/>
    <w:rsid w:val="7DF74744"/>
    <w:rsid w:val="7DFF1847"/>
    <w:rsid w:val="7F8518D8"/>
    <w:rsid w:val="7FA93818"/>
    <w:rsid w:val="7FAC4B9F"/>
    <w:rsid w:val="7FB15974"/>
    <w:rsid w:val="7FB2700E"/>
    <w:rsid w:val="7FCA8123"/>
    <w:rsid w:val="B93E2127"/>
    <w:rsid w:val="FFF723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b/>
      <w:bCs/>
      <w:kern w:val="44"/>
      <w:sz w:val="48"/>
      <w:szCs w:val="48"/>
      <w:lang w:bidi="ug-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semiHidden/>
    <w:qFormat/>
    <w:uiPriority w:val="0"/>
    <w:rPr>
      <w:rFonts w:ascii="仿宋" w:hAnsi="仿宋" w:eastAsia="仿宋" w:cs="仿宋"/>
      <w:sz w:val="32"/>
      <w:szCs w:val="32"/>
    </w:rPr>
  </w:style>
  <w:style w:type="paragraph" w:styleId="5">
    <w:name w:val="footer"/>
    <w:basedOn w:val="1"/>
    <w:qFormat/>
    <w:uiPriority w:val="0"/>
    <w:pPr>
      <w:tabs>
        <w:tab w:val="center" w:pos="4153"/>
        <w:tab w:val="right" w:pos="8306"/>
      </w:tabs>
    </w:pPr>
    <w:rPr>
      <w:sz w:val="18"/>
    </w:rPr>
  </w:style>
  <w:style w:type="paragraph" w:styleId="6">
    <w:name w:val="header"/>
    <w:basedOn w:val="1"/>
    <w:link w:val="24"/>
    <w:qFormat/>
    <w:uiPriority w:val="0"/>
    <w:pPr>
      <w:pBdr>
        <w:bottom w:val="single" w:color="auto" w:sz="6" w:space="1"/>
      </w:pBdr>
      <w:tabs>
        <w:tab w:val="center" w:pos="4153"/>
        <w:tab w:val="right" w:pos="8306"/>
      </w:tabs>
      <w:jc w:val="center"/>
    </w:pPr>
    <w:rPr>
      <w:sz w:val="18"/>
      <w:szCs w:val="18"/>
    </w:rPr>
  </w:style>
  <w:style w:type="paragraph" w:customStyle="1" w:styleId="9">
    <w:name w:val="Char"/>
    <w:basedOn w:val="1"/>
    <w:qFormat/>
    <w:uiPriority w:val="99"/>
    <w:pPr>
      <w:spacing w:after="160" w:line="240" w:lineRule="exact"/>
    </w:pPr>
  </w:style>
  <w:style w:type="character" w:customStyle="1" w:styleId="10">
    <w:name w:val="font01"/>
    <w:basedOn w:val="8"/>
    <w:qFormat/>
    <w:uiPriority w:val="0"/>
    <w:rPr>
      <w:rFonts w:ascii="Arial" w:hAnsi="Arial" w:cs="Arial"/>
      <w:color w:val="000000"/>
      <w:sz w:val="22"/>
      <w:szCs w:val="22"/>
      <w:u w:val="none"/>
    </w:rPr>
  </w:style>
  <w:style w:type="character" w:customStyle="1" w:styleId="11">
    <w:name w:val="font21"/>
    <w:basedOn w:val="8"/>
    <w:qFormat/>
    <w:uiPriority w:val="0"/>
    <w:rPr>
      <w:rFonts w:hint="eastAsia" w:ascii="宋体" w:hAnsi="宋体" w:eastAsia="宋体" w:cs="宋体"/>
      <w:color w:val="000000"/>
      <w:sz w:val="22"/>
      <w:szCs w:val="22"/>
      <w:u w:val="none"/>
    </w:rPr>
  </w:style>
  <w:style w:type="character" w:customStyle="1" w:styleId="12">
    <w:name w:val="font61"/>
    <w:basedOn w:val="8"/>
    <w:qFormat/>
    <w:uiPriority w:val="0"/>
    <w:rPr>
      <w:rFonts w:ascii="宋体" w:hAnsi="宋体" w:eastAsia="宋体" w:cs="宋体"/>
      <w:color w:val="000000"/>
      <w:sz w:val="18"/>
      <w:szCs w:val="18"/>
      <w:u w:val="none"/>
    </w:rPr>
  </w:style>
  <w:style w:type="character" w:customStyle="1" w:styleId="13">
    <w:name w:val="font71"/>
    <w:basedOn w:val="8"/>
    <w:qFormat/>
    <w:uiPriority w:val="0"/>
    <w:rPr>
      <w:rFonts w:ascii="宋体" w:hAnsi="宋体" w:eastAsia="宋体" w:cs="宋体"/>
      <w:color w:val="000000"/>
      <w:sz w:val="18"/>
      <w:szCs w:val="18"/>
      <w:u w:val="none"/>
    </w:rPr>
  </w:style>
  <w:style w:type="character" w:customStyle="1" w:styleId="14">
    <w:name w:val="font41"/>
    <w:basedOn w:val="8"/>
    <w:qFormat/>
    <w:uiPriority w:val="0"/>
    <w:rPr>
      <w:rFonts w:ascii="仿宋" w:hAnsi="仿宋" w:eastAsia="仿宋" w:cs="仿宋"/>
      <w:color w:val="000000"/>
      <w:sz w:val="18"/>
      <w:szCs w:val="18"/>
      <w:u w:val="none"/>
    </w:rPr>
  </w:style>
  <w:style w:type="character" w:customStyle="1" w:styleId="15">
    <w:name w:val="font51"/>
    <w:basedOn w:val="8"/>
    <w:qFormat/>
    <w:uiPriority w:val="0"/>
    <w:rPr>
      <w:rFonts w:ascii="宋体" w:hAnsi="宋体" w:eastAsia="宋体" w:cs="宋体"/>
      <w:color w:val="000000"/>
      <w:sz w:val="22"/>
      <w:szCs w:val="22"/>
      <w:u w:val="none"/>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8"/>
      <w:szCs w:val="28"/>
    </w:rPr>
  </w:style>
  <w:style w:type="character" w:customStyle="1" w:styleId="18">
    <w:name w:val="font31"/>
    <w:basedOn w:val="8"/>
    <w:qFormat/>
    <w:uiPriority w:val="0"/>
    <w:rPr>
      <w:rFonts w:hint="eastAsia" w:ascii="宋体" w:hAnsi="宋体" w:eastAsia="宋体" w:cs="宋体"/>
      <w:b/>
      <w:bCs/>
      <w:color w:val="000000"/>
      <w:sz w:val="22"/>
      <w:szCs w:val="22"/>
      <w:u w:val="none"/>
    </w:rPr>
  </w:style>
  <w:style w:type="character" w:customStyle="1" w:styleId="19">
    <w:name w:val="font11"/>
    <w:basedOn w:val="8"/>
    <w:qFormat/>
    <w:uiPriority w:val="0"/>
    <w:rPr>
      <w:rFonts w:hint="default" w:ascii="Arial" w:hAnsi="Arial" w:cs="Arial"/>
      <w:color w:val="000000"/>
      <w:sz w:val="28"/>
      <w:szCs w:val="28"/>
      <w:u w:val="none"/>
    </w:rPr>
  </w:style>
  <w:style w:type="character" w:customStyle="1" w:styleId="20">
    <w:name w:val="font121"/>
    <w:basedOn w:val="8"/>
    <w:qFormat/>
    <w:uiPriority w:val="0"/>
    <w:rPr>
      <w:rFonts w:hint="eastAsia" w:ascii="宋体" w:hAnsi="宋体" w:eastAsia="宋体" w:cs="宋体"/>
      <w:color w:val="000000"/>
      <w:sz w:val="28"/>
      <w:szCs w:val="28"/>
      <w:u w:val="none"/>
    </w:rPr>
  </w:style>
  <w:style w:type="character" w:customStyle="1" w:styleId="21">
    <w:name w:val="font131"/>
    <w:basedOn w:val="8"/>
    <w:qFormat/>
    <w:uiPriority w:val="0"/>
    <w:rPr>
      <w:rFonts w:ascii="宋体" w:hAnsi="宋体" w:eastAsia="宋体" w:cs="宋体"/>
      <w:color w:val="000000"/>
      <w:sz w:val="18"/>
      <w:szCs w:val="18"/>
      <w:u w:val="none"/>
    </w:rPr>
  </w:style>
  <w:style w:type="character" w:customStyle="1" w:styleId="22">
    <w:name w:val="font81"/>
    <w:basedOn w:val="8"/>
    <w:qFormat/>
    <w:uiPriority w:val="0"/>
    <w:rPr>
      <w:rFonts w:hint="eastAsia" w:ascii="宋体" w:hAnsi="宋体" w:eastAsia="宋体" w:cs="宋体"/>
      <w:b/>
      <w:bCs/>
      <w:color w:val="000000"/>
      <w:sz w:val="32"/>
      <w:szCs w:val="32"/>
      <w:u w:val="none"/>
    </w:rPr>
  </w:style>
  <w:style w:type="character" w:customStyle="1" w:styleId="23">
    <w:name w:val="font91"/>
    <w:basedOn w:val="8"/>
    <w:qFormat/>
    <w:uiPriority w:val="0"/>
    <w:rPr>
      <w:rFonts w:ascii="宋体" w:hAnsi="宋体" w:eastAsia="宋体" w:cs="宋体"/>
      <w:color w:val="000000"/>
      <w:sz w:val="18"/>
      <w:szCs w:val="18"/>
      <w:u w:val="none"/>
    </w:rPr>
  </w:style>
  <w:style w:type="character" w:customStyle="1" w:styleId="24">
    <w:name w:val="页眉 Char"/>
    <w:basedOn w:val="8"/>
    <w:link w:val="6"/>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1393</Words>
  <Characters>1557</Characters>
  <Lines>141</Lines>
  <Paragraphs>39</Paragraphs>
  <TotalTime>61</TotalTime>
  <ScaleCrop>false</ScaleCrop>
  <LinksUpToDate>false</LinksUpToDate>
  <CharactersWithSpaces>1564</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2025-03-03T01:09:00Z</dcterms:created>
  <dc:creator>28605</dc:creator>
  <cp:lastModifiedBy>ybj</cp:lastModifiedBy>
  <cp:lastPrinted>2025-03-14T04:41:00Z</cp:lastPrinted>
  <dcterms:modified xsi:type="dcterms:W3CDTF">2025-03-27T20:38:14Z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KSOTemplateDocerSaveRecord">
    <vt:lpwstr>eyJoZGlkIjoiZjFmZWIzNDg2MmIzZjExOTIzMmViNTBmYTMwYTk0ZWYiLCJ1c2VySWQiOiI0MTgzMjQ1MDUifQ==</vt:lpwstr>
  </property>
  <property fmtid="{D5CDD505-2E9C-101B-9397-08002B2CF9AE}" pid="4" name="ICV">
    <vt:lpwstr>5FE5F55770CD4C32AE9CBC1722A814C0</vt:lpwstr>
  </property>
</Properties>
</file>