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3D0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于2024年度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医疗保险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基金决算公开</w:t>
      </w:r>
    </w:p>
    <w:p w14:paraId="227B72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有关情况的说明</w:t>
      </w:r>
    </w:p>
    <w:p w14:paraId="7723CB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9C396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年度新疆维吾尔自治区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基金决算已经自治区第十四届人大常委会第二十二次会议批准。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年，新疆维吾尔自治区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医疗保险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基金总收入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亿元，总支出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509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亿元（决算报表中“小计数”，不含上下级往来，下同），本年收支结余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年末累计结余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940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亿元。分项情况如下：</w:t>
      </w:r>
    </w:p>
    <w:p w14:paraId="0940B8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 w:cs="楷体"/>
          <w:sz w:val="32"/>
          <w:szCs w:val="32"/>
        </w:rPr>
        <w:t>职工基本医疗保险（含生育保险）基金</w:t>
      </w:r>
    </w:p>
    <w:p w14:paraId="53024A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本年收入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386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亿元，其中：保险费收入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369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95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亿元，利息收入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亿元，转移收入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其他收入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亿元；本年支出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339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亿元，其中：基本医疗保险待遇支出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亿元，转移支出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其他支出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亿元；本年收支结余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年末累计结余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785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</w:t>
      </w:r>
    </w:p>
    <w:p w14:paraId="27AE38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二、城乡居民基本医疗保险基金</w:t>
      </w:r>
    </w:p>
    <w:p w14:paraId="616605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本年收入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176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保险费收入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亿元，财政补贴收入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亿元，利息收入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亿元，其他收入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亿元；本年支出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169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亿元，其中：基本医疗保险待遇支出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146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大病保险支出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90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亿元，其他支出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亿元；本年收支结余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亿元；年末累计结余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155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</w:t>
      </w:r>
    </w:p>
    <w:p w14:paraId="5C46F4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需要说明的是，以上数据因进位舍位，可能存在小数尾差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5" w:type="default"/>
      <w:pgSz w:w="11906" w:h="16839"/>
      <w:pgMar w:top="2098" w:right="1474" w:bottom="1984" w:left="1587" w:header="0" w:footer="8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IXSizeTwoSym">
    <w:panose1 w:val="00000000000000000000"/>
    <w:charset w:val="86"/>
    <w:family w:val="auto"/>
    <w:pitch w:val="default"/>
    <w:sig w:usb0="00000063" w:usb1="000080C4" w:usb2="00000000" w:usb3="00000000" w:csb0="A03E0101" w:csb1="90FE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C44E9">
    <w:pPr>
      <w:spacing w:line="232" w:lineRule="auto"/>
      <w:ind w:left="417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-</w:t>
    </w:r>
    <w:r>
      <w:rPr>
        <w:rFonts w:ascii="Times New Roman" w:hAnsi="Times New Roman" w:eastAsia="宋体" w:cs="宋体"/>
        <w:spacing w:val="-8"/>
        <w:sz w:val="24"/>
        <w:szCs w:val="24"/>
      </w:rPr>
      <w:t>3</w:t>
    </w:r>
    <w:r>
      <w:rPr>
        <w:rFonts w:ascii="宋体" w:hAnsi="宋体" w:eastAsia="宋体" w:cs="宋体"/>
        <w:spacing w:val="-8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AB5FEA"/>
    <w:rsid w:val="057448C8"/>
    <w:rsid w:val="06B238FA"/>
    <w:rsid w:val="0D3D3AE3"/>
    <w:rsid w:val="2E7110F5"/>
    <w:rsid w:val="30913CD1"/>
    <w:rsid w:val="35EB79DF"/>
    <w:rsid w:val="41153C2F"/>
    <w:rsid w:val="4AB810EB"/>
    <w:rsid w:val="4D907392"/>
    <w:rsid w:val="571716CC"/>
    <w:rsid w:val="5C7C4633"/>
    <w:rsid w:val="5ED54C05"/>
    <w:rsid w:val="65B03CD6"/>
    <w:rsid w:val="66F916AD"/>
    <w:rsid w:val="75574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1218</Words>
  <Characters>1609</Characters>
  <TotalTime>22</TotalTime>
  <ScaleCrop>false</ScaleCrop>
  <LinksUpToDate>false</LinksUpToDate>
  <CharactersWithSpaces>1837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2025-08-21T17:52:00Z</dcterms:created>
  <dc:creator>张丽娟</dc:creator>
  <cp:lastModifiedBy>PX</cp:lastModifiedBy>
  <dcterms:modified xsi:type="dcterms:W3CDTF">2025-08-26T10:12:20Z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2025-08-26T17:31:41Z</vt:filetime>
  </property>
  <property fmtid="{D5CDD505-2E9C-101B-9397-08002B2CF9AE}" pid="4" name="KSOTemplateDocerSaveRecord">
    <vt:lpwstr>eyJoZGlkIjoiNzI5NzNkM2FhZjBlNDBjMjJkOTA0NzBiMTdjNTEwNzYiLCJ1c2VySWQiOiIyNjMxMzk4MDkifQ==</vt:lpwstr>
  </property>
  <property fmtid="{D5CDD505-2E9C-101B-9397-08002B2CF9AE}" pid="5" name="KSOProductBuildVer">
    <vt:lpwstr>2052-12.1.0.22529</vt:lpwstr>
  </property>
  <property fmtid="{D5CDD505-2E9C-101B-9397-08002B2CF9AE}" pid="6" name="ICV">
    <vt:lpwstr>9428535808CD4613ACAA41B8199C7EA6_12</vt:lpwstr>
  </property>
</Properties>
</file>