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3393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《新疆维吾尔自治区 新疆生产兵团长期护理保险护理服务机构定点管理实施细则》</w:t>
      </w:r>
    </w:p>
    <w:p w14:paraId="29048D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政策解读</w:t>
      </w:r>
    </w:p>
    <w:p w14:paraId="0A7FA2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</w:p>
    <w:p w14:paraId="3A6A18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方正仿宋_GBK"/>
          <w:color w:val="000000" w:themeColor="text1"/>
          <w:kern w:val="21"/>
          <w:sz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/>
          <w:color w:val="000000" w:themeColor="text1"/>
          <w:kern w:val="21"/>
          <w:sz w:val="32"/>
          <w14:textFill>
            <w14:solidFill>
              <w14:schemeClr w14:val="tx1"/>
            </w14:solidFill>
          </w14:textFill>
        </w:rPr>
        <w:t>为规范长期护理保险护理服务机构（以下简称“长护服务机构”）定点管理，保障参保人员合法权益，自治区、兵团医疗保障局联合印发了《新疆维吾尔自治区 新疆生产兵团长期护理保险护理服务机构定点管理实施细则》（新医保规〔2026〕5号，以下简称《实施细则》）</w:t>
      </w:r>
      <w:r>
        <w:rPr>
          <w:rFonts w:hint="eastAsia" w:ascii="Times New Roman" w:hAnsi="Times New Roman" w:eastAsia="方正仿宋_GBK"/>
          <w:color w:val="000000" w:themeColor="text1"/>
          <w:kern w:val="21"/>
          <w:sz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方正仿宋_GBK"/>
          <w:color w:val="000000" w:themeColor="text1"/>
          <w:kern w:val="21"/>
          <w:sz w:val="32"/>
          <w14:textFill>
            <w14:solidFill>
              <w14:schemeClr w14:val="tx1"/>
            </w14:solidFill>
          </w14:textFill>
        </w:rPr>
        <w:t>自2026年9月1日起施行。</w:t>
      </w:r>
    </w:p>
    <w:p w14:paraId="3AB084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color w:val="000000" w:themeColor="text1"/>
          <w:kern w:val="21"/>
          <w:sz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方正黑体_GBK" w:eastAsia="方正黑体_GBK" w:cs="方正黑体_GBK"/>
          <w:color w:val="000000" w:themeColor="text1"/>
          <w:kern w:val="21"/>
          <w:sz w:val="32"/>
          <w14:textFill>
            <w14:solidFill>
              <w14:schemeClr w14:val="tx1"/>
            </w14:solidFill>
          </w14:textFill>
        </w:rPr>
        <w:t>一、出台背景</w:t>
      </w:r>
    </w:p>
    <w:p w14:paraId="5FBE9A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方正仿宋_GBK"/>
          <w:color w:val="000000" w:themeColor="text1"/>
          <w:kern w:val="21"/>
          <w:sz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/>
          <w:color w:val="000000" w:themeColor="text1"/>
          <w:kern w:val="21"/>
          <w:sz w:val="32"/>
          <w14:textFill>
            <w14:solidFill>
              <w14:schemeClr w14:val="tx1"/>
            </w14:solidFill>
          </w14:textFill>
        </w:rPr>
        <w:t>2024年9月，国家医保局办公室印发《长期护理保险护理服务机构定点管理办法（试行）》（医保办发〔2024〕21号），要求各地在国家管理办法基础上结合实际制定实施细则。2026年3月，中办、国办印发《关于加快建立长期护理保险制度的意见》，明确用3年左右时间基本建立长期护理保险制度，要求建立健全基金支付管理机制，长期护理服务机构实行定点管理，制定完善相应管理办法。为落实国家要求，结合自治区、兵团实际，制定《实施细则》。</w:t>
      </w:r>
    </w:p>
    <w:p w14:paraId="4DB965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color w:val="000000" w:themeColor="text1"/>
          <w:kern w:val="21"/>
          <w:sz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方正黑体_GBK" w:eastAsia="方正黑体_GBK" w:cs="方正黑体_GBK"/>
          <w:color w:val="000000" w:themeColor="text1"/>
          <w:kern w:val="21"/>
          <w:sz w:val="32"/>
          <w14:textFill>
            <w14:solidFill>
              <w14:schemeClr w14:val="tx1"/>
            </w14:solidFill>
          </w14:textFill>
        </w:rPr>
        <w:t>二、总体考虑</w:t>
      </w:r>
    </w:p>
    <w:p w14:paraId="625116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方正仿宋_GBK"/>
          <w:color w:val="000000" w:themeColor="text1"/>
          <w:kern w:val="21"/>
          <w:sz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color w:val="000000" w:themeColor="text1"/>
          <w:kern w:val="21"/>
          <w:sz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方正楷体_GBK" w:hAnsi="方正楷体_GBK" w:eastAsia="方正楷体_GBK" w:cs="方正楷体_GBK"/>
          <w:color w:val="000000" w:themeColor="text1"/>
          <w:kern w:val="21"/>
          <w:sz w:val="32"/>
          <w:lang w:val="en-US" w:eastAsia="zh-CN"/>
          <w14:textFill>
            <w14:solidFill>
              <w14:schemeClr w14:val="tx1"/>
            </w14:solidFill>
          </w14:textFill>
        </w:rPr>
        <w:t>一</w:t>
      </w:r>
      <w:r>
        <w:rPr>
          <w:rFonts w:hint="eastAsia" w:ascii="方正楷体_GBK" w:hAnsi="方正楷体_GBK" w:eastAsia="方正楷体_GBK" w:cs="方正楷体_GBK"/>
          <w:color w:val="000000" w:themeColor="text1"/>
          <w:kern w:val="21"/>
          <w:sz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方正楷体_GBK" w:hAnsi="方正楷体_GBK" w:eastAsia="方正楷体_GBK" w:cs="方正楷体_GBK"/>
          <w:color w:val="000000" w:themeColor="text1"/>
          <w:kern w:val="21"/>
          <w:sz w:val="32"/>
          <w14:textFill>
            <w14:solidFill>
              <w14:schemeClr w14:val="tx1"/>
            </w14:solidFill>
          </w14:textFill>
        </w:rPr>
        <w:t>坚持宽进严管。</w:t>
      </w:r>
      <w:r>
        <w:rPr>
          <w:rFonts w:hint="eastAsia" w:ascii="Times New Roman" w:hAnsi="Times New Roman" w:eastAsia="方正仿宋_GBK"/>
          <w:color w:val="000000" w:themeColor="text1"/>
          <w:kern w:val="21"/>
          <w:sz w:val="32"/>
          <w14:textFill>
            <w14:solidFill>
              <w14:schemeClr w14:val="tx1"/>
            </w14:solidFill>
          </w14:textFill>
        </w:rPr>
        <w:t>立足我区服务资源总体不足的实际，鼓励各类机构公平参与竞争，引导社会力量参与；机构成为定点后，从严加强内部管理和基金监督。</w:t>
      </w:r>
    </w:p>
    <w:p w14:paraId="21AA71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方正仿宋_GBK"/>
          <w:color w:val="000000" w:themeColor="text1"/>
          <w:kern w:val="21"/>
          <w:sz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color w:val="000000" w:themeColor="text1"/>
          <w:kern w:val="21"/>
          <w:sz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方正楷体_GBK" w:hAnsi="方正楷体_GBK" w:eastAsia="方正楷体_GBK" w:cs="方正楷体_GBK"/>
          <w:color w:val="000000" w:themeColor="text1"/>
          <w:kern w:val="21"/>
          <w:sz w:val="32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方正楷体_GBK" w:hAnsi="方正楷体_GBK" w:eastAsia="方正楷体_GBK" w:cs="方正楷体_GBK"/>
          <w:color w:val="000000" w:themeColor="text1"/>
          <w:kern w:val="21"/>
          <w:sz w:val="32"/>
          <w:lang w:eastAsia="zh-CN"/>
          <w14:textFill>
            <w14:solidFill>
              <w14:schemeClr w14:val="tx1"/>
            </w14:solidFill>
          </w14:textFill>
        </w:rPr>
        <w:t>）突出全覆盖服务形态。</w:t>
      </w:r>
      <w:r>
        <w:rPr>
          <w:rFonts w:hint="eastAsia" w:ascii="Times New Roman" w:hAnsi="Times New Roman" w:eastAsia="方正仿宋_GBK"/>
          <w:color w:val="000000" w:themeColor="text1"/>
          <w:kern w:val="21"/>
          <w:sz w:val="32"/>
          <w14:textFill>
            <w14:solidFill>
              <w14:schemeClr w14:val="tx1"/>
            </w14:solidFill>
          </w14:textFill>
        </w:rPr>
        <w:t>明确长护服务涵盖机构护理、社区护理、居家护理三种形态，满足老年人多样化需求。</w:t>
      </w:r>
    </w:p>
    <w:p w14:paraId="4A50CD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方正仿宋_GBK"/>
          <w:color w:val="000000" w:themeColor="text1"/>
          <w:kern w:val="21"/>
          <w:sz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color w:val="000000" w:themeColor="text1"/>
          <w:kern w:val="21"/>
          <w:sz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方正楷体_GBK" w:hAnsi="方正楷体_GBK" w:eastAsia="方正楷体_GBK" w:cs="方正楷体_GBK"/>
          <w:color w:val="000000" w:themeColor="text1"/>
          <w:kern w:val="21"/>
          <w:sz w:val="32"/>
          <w:lang w:val="en-US"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eastAsia" w:ascii="方正楷体_GBK" w:hAnsi="方正楷体_GBK" w:eastAsia="方正楷体_GBK" w:cs="方正楷体_GBK"/>
          <w:color w:val="000000" w:themeColor="text1"/>
          <w:kern w:val="21"/>
          <w:sz w:val="32"/>
          <w:lang w:eastAsia="zh-CN"/>
          <w14:textFill>
            <w14:solidFill>
              <w14:schemeClr w14:val="tx1"/>
            </w14:solidFill>
          </w14:textFill>
        </w:rPr>
        <w:t>）突出信息化管理。</w:t>
      </w:r>
      <w:r>
        <w:rPr>
          <w:rFonts w:hint="eastAsia" w:ascii="Times New Roman" w:hAnsi="Times New Roman" w:eastAsia="方正仿宋_GBK"/>
          <w:color w:val="000000" w:themeColor="text1"/>
          <w:kern w:val="21"/>
          <w:sz w:val="32"/>
          <w14:textFill>
            <w14:solidFill>
              <w14:schemeClr w14:val="tx1"/>
            </w14:solidFill>
          </w14:textFill>
        </w:rPr>
        <w:t>要求机构具备使用全国统一医保信息平台条件，实行“一人一档”电子档案管理，按规定传送全量数据。</w:t>
      </w:r>
    </w:p>
    <w:p w14:paraId="408C52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方正仿宋_GBK"/>
          <w:color w:val="000000" w:themeColor="text1"/>
          <w:kern w:val="21"/>
          <w:sz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color w:val="000000" w:themeColor="text1"/>
          <w:kern w:val="21"/>
          <w:sz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方正楷体_GBK" w:hAnsi="方正楷体_GBK" w:eastAsia="方正楷体_GBK" w:cs="方正楷体_GBK"/>
          <w:color w:val="000000" w:themeColor="text1"/>
          <w:kern w:val="21"/>
          <w:sz w:val="32"/>
          <w:lang w:val="en-US"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eastAsia" w:ascii="方正楷体_GBK" w:hAnsi="方正楷体_GBK" w:eastAsia="方正楷体_GBK" w:cs="方正楷体_GBK"/>
          <w:color w:val="000000" w:themeColor="text1"/>
          <w:kern w:val="21"/>
          <w:sz w:val="32"/>
          <w:lang w:eastAsia="zh-CN"/>
          <w14:textFill>
            <w14:solidFill>
              <w14:schemeClr w14:val="tx1"/>
            </w14:solidFill>
          </w14:textFill>
        </w:rPr>
        <w:t>）突出队伍建设。</w:t>
      </w:r>
      <w:r>
        <w:rPr>
          <w:rFonts w:hint="eastAsia" w:ascii="Times New Roman" w:hAnsi="Times New Roman" w:eastAsia="方正仿宋_GBK"/>
          <w:color w:val="000000" w:themeColor="text1"/>
          <w:kern w:val="21"/>
          <w:sz w:val="32"/>
          <w14:textFill>
            <w14:solidFill>
              <w14:schemeClr w14:val="tx1"/>
            </w14:solidFill>
          </w14:textFill>
        </w:rPr>
        <w:t>与国家推动“长期照护师”新职业相衔接，对长期照护师配备比例提出阶段性提升要求。</w:t>
      </w:r>
    </w:p>
    <w:p w14:paraId="520842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color w:val="000000" w:themeColor="text1"/>
          <w:kern w:val="21"/>
          <w:sz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方正黑体_GBK" w:eastAsia="方正黑体_GBK" w:cs="方正黑体_GBK"/>
          <w:color w:val="000000" w:themeColor="text1"/>
          <w:kern w:val="21"/>
          <w:sz w:val="32"/>
          <w14:textFill>
            <w14:solidFill>
              <w14:schemeClr w14:val="tx1"/>
            </w14:solidFill>
          </w14:textFill>
        </w:rPr>
        <w:t>三、主要内容</w:t>
      </w:r>
    </w:p>
    <w:p w14:paraId="42A59B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方正仿宋_GBK"/>
          <w:color w:val="000000" w:themeColor="text1"/>
          <w:kern w:val="21"/>
          <w:sz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/>
          <w:color w:val="000000" w:themeColor="text1"/>
          <w:kern w:val="21"/>
          <w:sz w:val="32"/>
          <w14:textFill>
            <w14:solidFill>
              <w14:schemeClr w14:val="tx1"/>
            </w14:solidFill>
          </w14:textFill>
        </w:rPr>
        <w:t>《实施细则》共36条，外加3个附件，构建了“准入—运行—经办—退出—监督”全链条管理体系。</w:t>
      </w:r>
    </w:p>
    <w:p w14:paraId="3EE2FD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方正仿宋_GBK"/>
          <w:color w:val="000000" w:themeColor="text1"/>
          <w:kern w:val="21"/>
          <w:sz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color w:val="000000" w:themeColor="text1"/>
          <w:kern w:val="21"/>
          <w:sz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方正楷体_GBK" w:hAnsi="方正楷体_GBK" w:eastAsia="方正楷体_GBK" w:cs="方正楷体_GBK"/>
          <w:color w:val="000000" w:themeColor="text1"/>
          <w:kern w:val="21"/>
          <w:sz w:val="32"/>
          <w:lang w:val="en-US" w:eastAsia="zh-CN"/>
          <w14:textFill>
            <w14:solidFill>
              <w14:schemeClr w14:val="tx1"/>
            </w14:solidFill>
          </w14:textFill>
        </w:rPr>
        <w:t>一</w:t>
      </w:r>
      <w:r>
        <w:rPr>
          <w:rFonts w:hint="eastAsia" w:ascii="方正楷体_GBK" w:hAnsi="方正楷体_GBK" w:eastAsia="方正楷体_GBK" w:cs="方正楷体_GBK"/>
          <w:color w:val="000000" w:themeColor="text1"/>
          <w:kern w:val="21"/>
          <w:sz w:val="32"/>
          <w:lang w:eastAsia="zh-CN"/>
          <w14:textFill>
            <w14:solidFill>
              <w14:schemeClr w14:val="tx1"/>
            </w14:solidFill>
          </w14:textFill>
        </w:rPr>
        <w:t>）明确职责分工。</w:t>
      </w:r>
      <w:r>
        <w:rPr>
          <w:rFonts w:hint="eastAsia" w:ascii="Times New Roman" w:hAnsi="Times New Roman" w:eastAsia="方正仿宋_GBK"/>
          <w:color w:val="000000" w:themeColor="text1"/>
          <w:kern w:val="21"/>
          <w:sz w:val="32"/>
          <w14:textFill>
            <w14:solidFill>
              <w14:schemeClr w14:val="tx1"/>
            </w14:solidFill>
          </w14:textFill>
        </w:rPr>
        <w:t>自治区、兵团医保行政部门负责制定细则并监督指导；统筹地区医保部门统筹规划辖区内定点机构配置；经办机构负责确定定点机构、签订协议、费用审核结算、绩效评估等。</w:t>
      </w:r>
    </w:p>
    <w:p w14:paraId="0C25C8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方正仿宋_GBK"/>
          <w:color w:val="000000" w:themeColor="text1"/>
          <w:kern w:val="21"/>
          <w:sz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color w:val="000000" w:themeColor="text1"/>
          <w:kern w:val="21"/>
          <w:sz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方正楷体_GBK" w:hAnsi="方正楷体_GBK" w:eastAsia="方正楷体_GBK" w:cs="方正楷体_GBK"/>
          <w:color w:val="000000" w:themeColor="text1"/>
          <w:kern w:val="21"/>
          <w:sz w:val="32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方正楷体_GBK" w:hAnsi="方正楷体_GBK" w:eastAsia="方正楷体_GBK" w:cs="方正楷体_GBK"/>
          <w:color w:val="000000" w:themeColor="text1"/>
          <w:kern w:val="21"/>
          <w:sz w:val="32"/>
          <w:lang w:eastAsia="zh-CN"/>
          <w14:textFill>
            <w14:solidFill>
              <w14:schemeClr w14:val="tx1"/>
            </w14:solidFill>
          </w14:textFill>
        </w:rPr>
        <w:t>）规范定点确定。</w:t>
      </w:r>
      <w:r>
        <w:rPr>
          <w:rFonts w:hint="eastAsia" w:ascii="Times New Roman" w:hAnsi="Times New Roman" w:eastAsia="方正仿宋_GBK"/>
          <w:color w:val="000000" w:themeColor="text1"/>
          <w:kern w:val="21"/>
          <w:sz w:val="32"/>
          <w14:textFill>
            <w14:solidFill>
              <w14:schemeClr w14:val="tx1"/>
            </w14:solidFill>
          </w14:textFill>
        </w:rPr>
        <w:t>明确养老机构、医疗机构及其他服务机构均可自愿申请，细化法人资质、营业场所、人员配备、制度建设、信息化条件等基本条件和三种服务类型的差异化准入标准。申请、审核、公示、签约程序参照国家办法执行。</w:t>
      </w:r>
    </w:p>
    <w:p w14:paraId="336833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方正仿宋_GBK"/>
          <w:color w:val="000000" w:themeColor="text1"/>
          <w:kern w:val="21"/>
          <w:sz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color w:val="000000" w:themeColor="text1"/>
          <w:kern w:val="21"/>
          <w:sz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方正楷体_GBK" w:hAnsi="方正楷体_GBK" w:eastAsia="方正楷体_GBK" w:cs="方正楷体_GBK"/>
          <w:color w:val="000000" w:themeColor="text1"/>
          <w:kern w:val="21"/>
          <w:sz w:val="32"/>
          <w:lang w:val="en-US"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eastAsia" w:ascii="方正楷体_GBK" w:hAnsi="方正楷体_GBK" w:eastAsia="方正楷体_GBK" w:cs="方正楷体_GBK"/>
          <w:color w:val="000000" w:themeColor="text1"/>
          <w:kern w:val="21"/>
          <w:sz w:val="32"/>
          <w:lang w:eastAsia="zh-CN"/>
          <w14:textFill>
            <w14:solidFill>
              <w14:schemeClr w14:val="tx1"/>
            </w14:solidFill>
          </w14:textFill>
        </w:rPr>
        <w:t>）强化运行管理。</w:t>
      </w:r>
      <w:r>
        <w:rPr>
          <w:rFonts w:hint="eastAsia" w:ascii="Times New Roman" w:hAnsi="Times New Roman" w:eastAsia="方正仿宋_GBK"/>
          <w:color w:val="000000" w:themeColor="text1"/>
          <w:kern w:val="21"/>
          <w:sz w:val="32"/>
          <w14:textFill>
            <w14:solidFill>
              <w14:schemeClr w14:val="tx1"/>
            </w14:solidFill>
          </w14:textFill>
        </w:rPr>
        <w:t>对协议履行、服务规范、信息管理、价格收费、基金使用等提出明确要求。医疗护理服务价格参照定点医疗机构价格政策执行；生活照护服务按公平合理原则定价，同一项目价格不得高于非参保人员。</w:t>
      </w:r>
    </w:p>
    <w:p w14:paraId="051D15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方正仿宋_GBK"/>
          <w:color w:val="000000" w:themeColor="text1"/>
          <w:kern w:val="21"/>
          <w:sz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color w:val="000000" w:themeColor="text1"/>
          <w:kern w:val="21"/>
          <w:sz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方正楷体_GBK" w:hAnsi="方正楷体_GBK" w:eastAsia="方正楷体_GBK" w:cs="方正楷体_GBK"/>
          <w:color w:val="000000" w:themeColor="text1"/>
          <w:kern w:val="21"/>
          <w:sz w:val="32"/>
          <w:lang w:val="en-US"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eastAsia" w:ascii="方正楷体_GBK" w:hAnsi="方正楷体_GBK" w:eastAsia="方正楷体_GBK" w:cs="方正楷体_GBK"/>
          <w:color w:val="000000" w:themeColor="text1"/>
          <w:kern w:val="21"/>
          <w:sz w:val="32"/>
          <w:lang w:eastAsia="zh-CN"/>
          <w14:textFill>
            <w14:solidFill>
              <w14:schemeClr w14:val="tx1"/>
            </w14:solidFill>
          </w14:textFill>
        </w:rPr>
        <w:t>）完善经办服务。</w:t>
      </w:r>
      <w:r>
        <w:rPr>
          <w:rFonts w:hint="eastAsia" w:ascii="Times New Roman" w:hAnsi="Times New Roman" w:eastAsia="方正仿宋_GBK"/>
          <w:color w:val="000000" w:themeColor="text1"/>
          <w:kern w:val="21"/>
          <w:sz w:val="32"/>
          <w14:textFill>
            <w14:solidFill>
              <w14:schemeClr w14:val="tx1"/>
            </w14:solidFill>
          </w14:textFill>
        </w:rPr>
        <w:t>费用原则上在机构申报后30个工作日内完成拨付；可将部分业务交第三方承办；考核结果与费用拨付、协议续签等挂钩。</w:t>
      </w:r>
    </w:p>
    <w:p w14:paraId="757452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方正仿宋_GBK"/>
          <w:color w:val="000000" w:themeColor="text1"/>
          <w:kern w:val="21"/>
          <w:sz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color w:val="000000" w:themeColor="text1"/>
          <w:kern w:val="21"/>
          <w:sz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方正楷体_GBK" w:hAnsi="方正楷体_GBK" w:eastAsia="方正楷体_GBK" w:cs="方正楷体_GBK"/>
          <w:color w:val="000000" w:themeColor="text1"/>
          <w:kern w:val="21"/>
          <w:sz w:val="32"/>
          <w:lang w:val="en-US" w:eastAsia="zh-CN"/>
          <w14:textFill>
            <w14:solidFill>
              <w14:schemeClr w14:val="tx1"/>
            </w14:solidFill>
          </w14:textFill>
        </w:rPr>
        <w:t>五</w:t>
      </w:r>
      <w:r>
        <w:rPr>
          <w:rFonts w:hint="eastAsia" w:ascii="方正楷体_GBK" w:hAnsi="方正楷体_GBK" w:eastAsia="方正楷体_GBK" w:cs="方正楷体_GBK"/>
          <w:color w:val="000000" w:themeColor="text1"/>
          <w:kern w:val="21"/>
          <w:sz w:val="32"/>
          <w:lang w:eastAsia="zh-CN"/>
          <w14:textFill>
            <w14:solidFill>
              <w14:schemeClr w14:val="tx1"/>
            </w14:solidFill>
          </w14:textFill>
        </w:rPr>
        <w:t>）健全动态管理。</w:t>
      </w:r>
      <w:r>
        <w:rPr>
          <w:rFonts w:hint="eastAsia" w:ascii="Times New Roman" w:hAnsi="Times New Roman" w:eastAsia="方正仿宋_GBK"/>
          <w:color w:val="000000" w:themeColor="text1"/>
          <w:kern w:val="21"/>
          <w:sz w:val="32"/>
          <w14:textFill>
            <w14:solidFill>
              <w14:schemeClr w14:val="tx1"/>
            </w14:solidFill>
          </w14:textFill>
        </w:rPr>
        <w:t>明确信息变更、协议续签、中止、解除的管理要求，细化协议解除的具体情形。</w:t>
      </w:r>
    </w:p>
    <w:p w14:paraId="03F30F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方正仿宋_GBK"/>
          <w:color w:val="000000" w:themeColor="text1"/>
          <w:kern w:val="21"/>
          <w:sz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color w:val="000000" w:themeColor="text1"/>
          <w:kern w:val="21"/>
          <w:sz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方正楷体_GBK" w:hAnsi="方正楷体_GBK" w:eastAsia="方正楷体_GBK" w:cs="方正楷体_GBK"/>
          <w:color w:val="000000" w:themeColor="text1"/>
          <w:kern w:val="21"/>
          <w:sz w:val="32"/>
          <w:lang w:val="en-US" w:eastAsia="zh-CN"/>
          <w14:textFill>
            <w14:solidFill>
              <w14:schemeClr w14:val="tx1"/>
            </w14:solidFill>
          </w14:textFill>
        </w:rPr>
        <w:t>六</w:t>
      </w:r>
      <w:r>
        <w:rPr>
          <w:rFonts w:hint="eastAsia" w:ascii="方正楷体_GBK" w:hAnsi="方正楷体_GBK" w:eastAsia="方正楷体_GBK" w:cs="方正楷体_GBK"/>
          <w:color w:val="000000" w:themeColor="text1"/>
          <w:kern w:val="21"/>
          <w:sz w:val="32"/>
          <w:lang w:eastAsia="zh-CN"/>
          <w14:textFill>
            <w14:solidFill>
              <w14:schemeClr w14:val="tx1"/>
            </w14:solidFill>
          </w14:textFill>
        </w:rPr>
        <w:t>）强化监督管理。</w:t>
      </w:r>
      <w:r>
        <w:rPr>
          <w:rFonts w:hint="eastAsia" w:ascii="Times New Roman" w:hAnsi="Times New Roman" w:eastAsia="方正仿宋_GBK"/>
          <w:color w:val="000000" w:themeColor="text1"/>
          <w:kern w:val="21"/>
          <w:sz w:val="32"/>
          <w14:textFill>
            <w14:solidFill>
              <w14:schemeClr w14:val="tx1"/>
            </w14:solidFill>
          </w14:textFill>
        </w:rPr>
        <w:t>经办机构通过智能审核、实时监控等方式开展核查；行政部门通过实地检查、大数据分析等方式监督，可联合相关部门开展联合执法。</w:t>
      </w:r>
    </w:p>
    <w:p w14:paraId="69A959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color w:val="000000" w:themeColor="text1"/>
          <w:kern w:val="21"/>
          <w:sz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方正黑体_GBK" w:eastAsia="方正黑体_GBK" w:cs="方正黑体_GBK"/>
          <w:color w:val="000000" w:themeColor="text1"/>
          <w:kern w:val="21"/>
          <w:sz w:val="32"/>
          <w14:textFill>
            <w14:solidFill>
              <w14:schemeClr w14:val="tx1"/>
            </w14:solidFill>
          </w14:textFill>
        </w:rPr>
        <w:t>四、落实要求</w:t>
      </w:r>
    </w:p>
    <w:p w14:paraId="420286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方正仿宋_GBK"/>
          <w:color w:val="000000" w:themeColor="text1"/>
          <w:kern w:val="21"/>
          <w:sz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/>
          <w:color w:val="000000" w:themeColor="text1"/>
          <w:kern w:val="21"/>
          <w:sz w:val="32"/>
          <w14:textFill>
            <w14:solidFill>
              <w14:schemeClr w14:val="tx1"/>
            </w14:solidFill>
          </w14:textFill>
        </w:rPr>
        <w:t>各级医保部门要提高政治站位，深刻认识规范定点管理对保障参保人员权益、维护基金安全的重要意义；精心组织，做好政策衔接和辖区内定点机构资源配置；加强协同，形成医保与发展改革、民政、财政、卫生健康、市场监管等部门的工作合力；注重引导，做好政策宣传培训，共同推动长期护理保险制度开好局、起好步。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D11EF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65E2605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65E2605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1143CD"/>
    <w:rsid w:val="214A2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28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2023-09-26T05:37:00Z</dcterms:created>
  <dc:creator>1</dc:creator>
  <cp:lastModifiedBy>石斯尧</cp:lastModifiedBy>
  <dcterms:modified xsi:type="dcterms:W3CDTF">2026-08-31T10:18:59Z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CC3A0DEEDBBA4DCEAF550E5EEAE63B29_12</vt:lpwstr>
  </property>
  <property fmtid="{D5CDD505-2E9C-101B-9397-08002B2CF9AE}" pid="4" name="KSOTemplateDocerSaveRecord">
    <vt:lpwstr>eyJoZGlkIjoiODE2ZjRhMTcwMjcwY2YyYzM0MWI4OTBmNTUzZTA4YWMiLCJ1c2VySWQiOiI3NTAxMjA4NjEifQ==</vt:lpwstr>
  </property>
</Properties>
</file>