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关于自治区和兵团202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" w:eastAsia="zh-CN"/>
        </w:rPr>
        <w:t>4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年度医疗服务价格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pacing w:val="2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动态调整方案的说明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</w:t>
      </w: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、</w:t>
      </w:r>
      <w:r>
        <w:rPr>
          <w:rFonts w:hint="eastAsia" w:ascii="Nimbus Roman No9 L" w:hAnsi="Nimbus Roman No9 L" w:eastAsia="黑体" w:cs="Nimbus Roman No9 L"/>
          <w:sz w:val="32"/>
          <w:szCs w:val="32"/>
          <w:lang w:eastAsia="zh-CN"/>
        </w:rPr>
        <w:t>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lang w:eastAsia="zh-CN"/>
        </w:rPr>
        <w:t>根据《新疆维吾尔自治区</w:t>
      </w: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lang w:val="en-US" w:eastAsia="zh-CN"/>
        </w:rPr>
        <w:t xml:space="preserve"> 新疆生产建设兵团医疗服务价格动态调整机制（试行）》（新医保发〔2022〕15号），</w:t>
      </w:r>
      <w:r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1"/>
          <w:sz w:val="32"/>
          <w:szCs w:val="32"/>
          <w:u w:val="none"/>
          <w:lang w:val="en-US" w:eastAsia="zh-CN"/>
        </w:rPr>
        <w:t>符合任一启动条件同时未触发任一约束条件的实施价格动态调整；启动条件均未符合或触发任一约束条件的，暂停价格动态调整</w:t>
      </w:r>
      <w:r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”的要求，</w:t>
      </w:r>
      <w:r>
        <w:rPr>
          <w:rFonts w:hint="default" w:ascii="Nimbus Roman No9 L" w:hAnsi="Nimbus Roman No9 L" w:eastAsia="方正仿宋_GBK" w:cs="Nimbus Roman No9 L"/>
          <w:b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Nimbus Roman No9 L" w:hAnsi="Nimbus Roman No9 L" w:eastAsia="方正仿宋_GBK" w:cs="Nimbus Roman No9 L"/>
          <w:b w:val="0"/>
          <w:kern w:val="2"/>
          <w:sz w:val="32"/>
          <w:szCs w:val="32"/>
          <w:lang w:val="en" w:eastAsia="zh-CN" w:bidi="ar-SA"/>
        </w:rPr>
        <w:t>3</w:t>
      </w:r>
      <w:r>
        <w:rPr>
          <w:rFonts w:hint="eastAsia" w:eastAsia="方正仿宋_GBK" w:cs="Nimbus Roman No9 L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eastAsia="方正仿宋_GBK" w:cs="Nimbus Roman No9 L"/>
          <w:b w:val="0"/>
          <w:kern w:val="2"/>
          <w:sz w:val="32"/>
          <w:szCs w:val="32"/>
          <w:lang w:val="en" w:eastAsia="zh-CN" w:bidi="ar-SA"/>
        </w:rPr>
        <w:t>全区</w:t>
      </w:r>
      <w:r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二级及以上公立医疗机构医疗总收入同口径比较增幅</w:t>
      </w: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" w:eastAsia="zh-CN"/>
        </w:rPr>
        <w:t>为27%，触发“超过12%”的约束条件，</w:t>
      </w:r>
      <w:r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2024年不启动动态调整工作</w:t>
      </w: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eastAsia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" w:eastAsia="zh-CN"/>
        </w:rPr>
        <w:t>20</w:t>
      </w:r>
      <w:r>
        <w:rPr>
          <w:rFonts w:hint="eastAsia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-US" w:eastAsia="zh-CN"/>
        </w:rPr>
        <w:t>24</w:t>
      </w:r>
      <w:r>
        <w:rPr>
          <w:rFonts w:hint="default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" w:eastAsia="zh-CN"/>
        </w:rPr>
        <w:t>年1</w:t>
      </w:r>
      <w:r>
        <w:rPr>
          <w:rFonts w:hint="eastAsia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-US" w:eastAsia="zh-CN"/>
        </w:rPr>
        <w:t>0</w:t>
      </w:r>
      <w:r>
        <w:rPr>
          <w:rFonts w:hint="default" w:ascii="Nimbus Roman No9 L" w:hAnsi="Nimbus Roman No9 L" w:eastAsia="方正仿宋_GBK" w:cs="Nimbus Roman No9 L"/>
          <w:spacing w:val="11"/>
          <w:kern w:val="21"/>
          <w:sz w:val="32"/>
          <w:szCs w:val="32"/>
          <w:u w:val="none" w:color="auto"/>
          <w:lang w:val="en" w:eastAsia="zh-CN"/>
        </w:rPr>
        <w:t>月，</w:t>
      </w:r>
      <w:r>
        <w:rPr>
          <w:rFonts w:hint="eastAsia" w:ascii="Nimbus Roman No9 L" w:hAnsi="Nimbus Roman No9 L" w:eastAsia="方正仿宋_GBK" w:cs="Nimbus Roman No9 L"/>
          <w:b w:val="0"/>
          <w:bCs w:val="0"/>
          <w:spacing w:val="11"/>
          <w:kern w:val="2"/>
          <w:sz w:val="32"/>
          <w:szCs w:val="32"/>
          <w:u w:val="none"/>
          <w:lang w:val="en-US" w:eastAsia="zh-CN" w:bidi="ar-SA"/>
        </w:rPr>
        <w:t>国家医保局办公室印发《关于优化调整护理价格政策 促进护理服务高质量发展的通知》（医保办函〔2024〕83号），要求“立足医保基金安全研判护理服务价格调整可行性”、“通过降低检查检验类价格，拓展调价空间”，</w:t>
      </w:r>
      <w:r>
        <w:rPr>
          <w:rFonts w:hint="eastAsia" w:eastAsia="方正仿宋_GBK" w:cs="Nimbus Roman No9 L"/>
          <w:b w:val="0"/>
          <w:kern w:val="2"/>
          <w:sz w:val="32"/>
          <w:szCs w:val="32"/>
          <w:lang w:val="en-US" w:eastAsia="zh-CN" w:bidi="ar-SA"/>
        </w:rPr>
        <w:t>为落实国家要求，并</w:t>
      </w:r>
      <w:r>
        <w:rPr>
          <w:rFonts w:hint="default" w:eastAsia="方正仿宋_GBK" w:cs="Nimbus Roman No9 L"/>
          <w:b w:val="0"/>
          <w:kern w:val="2"/>
          <w:sz w:val="32"/>
          <w:szCs w:val="32"/>
          <w:lang w:val="en" w:eastAsia="zh-CN" w:bidi="ar-SA"/>
        </w:rPr>
        <w:t>减</w:t>
      </w:r>
      <w:r>
        <w:rPr>
          <w:rFonts w:hint="eastAsia" w:eastAsia="方正仿宋_GBK" w:cs="Nimbus Roman No9 L"/>
          <w:b w:val="0"/>
          <w:kern w:val="2"/>
          <w:sz w:val="32"/>
          <w:szCs w:val="32"/>
          <w:lang w:val="en" w:eastAsia="zh-CN" w:bidi="ar-SA"/>
        </w:rPr>
        <w:t>轻我区</w:t>
      </w:r>
      <w:r>
        <w:rPr>
          <w:rFonts w:hint="eastAsia" w:eastAsia="方正仿宋_GBK" w:cs="Nimbus Roman No9 L"/>
          <w:b w:val="0"/>
          <w:kern w:val="2"/>
          <w:sz w:val="32"/>
          <w:szCs w:val="32"/>
          <w:lang w:val="en-US" w:eastAsia="zh-CN" w:bidi="ar-SA"/>
        </w:rPr>
        <w:t>医保基金</w:t>
      </w:r>
      <w:r>
        <w:rPr>
          <w:rFonts w:hint="default" w:eastAsia="方正仿宋_GBK" w:cs="Nimbus Roman No9 L"/>
          <w:b w:val="0"/>
          <w:kern w:val="2"/>
          <w:sz w:val="32"/>
          <w:szCs w:val="32"/>
          <w:lang w:val="en" w:eastAsia="zh-CN" w:bidi="ar-SA"/>
        </w:rPr>
        <w:t>运行压力</w:t>
      </w:r>
      <w:r>
        <w:rPr>
          <w:rFonts w:hint="eastAsia" w:eastAsia="方正仿宋_GBK" w:cs="Nimbus Roman No9 L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Nimbus Roman No9 L" w:hAnsi="Nimbus Roman No9 L" w:eastAsia="方正仿宋_GBK" w:cs="Nimbus Roman No9 L"/>
          <w:b w:val="0"/>
          <w:bCs w:val="0"/>
          <w:spacing w:val="11"/>
          <w:kern w:val="2"/>
          <w:sz w:val="32"/>
          <w:szCs w:val="32"/>
          <w:u w:val="none"/>
          <w:lang w:val="en-US" w:eastAsia="zh-CN" w:bidi="ar-SA"/>
        </w:rPr>
        <w:t>开展</w:t>
      </w:r>
      <w:r>
        <w:rPr>
          <w:rFonts w:hint="default" w:ascii="Nimbus Roman No9 L" w:hAnsi="Nimbus Roman No9 L" w:eastAsia="方正仿宋_GBK" w:cs="Nimbus Roman No9 L"/>
          <w:b w:val="0"/>
          <w:bCs w:val="0"/>
          <w:spacing w:val="11"/>
          <w:kern w:val="2"/>
          <w:sz w:val="32"/>
          <w:szCs w:val="32"/>
          <w:u w:val="none"/>
          <w:lang w:val="en-US" w:eastAsia="zh-CN" w:bidi="ar-SA"/>
        </w:rPr>
        <w:t>专项调整</w:t>
      </w:r>
      <w:r>
        <w:rPr>
          <w:rFonts w:hint="eastAsia" w:ascii="Nimbus Roman No9 L" w:hAnsi="Nimbus Roman No9 L" w:eastAsia="方正仿宋_GBK" w:cs="Nimbus Roman No9 L"/>
          <w:b w:val="0"/>
          <w:bCs w:val="0"/>
          <w:spacing w:val="11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4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kern w:val="21"/>
          <w:sz w:val="32"/>
          <w:szCs w:val="32"/>
          <w:u w:val="none" w:color="auto"/>
          <w:lang w:val="en-US" w:eastAsia="zh-CN"/>
        </w:rPr>
        <w:t>二、</w:t>
      </w:r>
      <w:r>
        <w:rPr>
          <w:rFonts w:hint="eastAsia" w:ascii="Nimbus Roman No9 L" w:hAnsi="Nimbus Roman No9 L" w:eastAsia="方正黑体_GBK" w:cs="Nimbus Roman No9 L"/>
          <w:spacing w:val="-6"/>
          <w:sz w:val="32"/>
          <w:szCs w:val="32"/>
          <w:lang w:val="en-US" w:eastAsia="zh-CN"/>
        </w:rPr>
        <w:t>方案制定过程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u w:val="none" w:color="auto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sz w:val="32"/>
          <w:szCs w:val="32"/>
          <w:u w:val="none" w:color="auto"/>
          <w:lang w:val="en-US" w:eastAsia="zh-CN"/>
        </w:rPr>
        <w:t>（一）选择调价项目。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提取自治区现行医疗服务价格项目目录内检查类项目，与其他省份相关项目价格进行比价，筛选我区价格水平偏上或居中的项目，同时剔除2023年度已动态调整过的项目。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sz w:val="32"/>
          <w:szCs w:val="32"/>
          <w:u w:val="none" w:color="auto"/>
          <w:lang w:val="en-US" w:eastAsia="zh-CN"/>
        </w:rPr>
        <w:t>（二）确定调价总量。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结合医保基金运行状况，以调增项目拟调整金额作为调价总量筛选调减项目，确保调减金额不少于调增金额，进一步减轻基金运行压力及患者费用负担。调减项目调整幅度以“小步快走”为主要原则，确保医疗机构收入相对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Nimbus Roman No9 L" w:hAnsi="Nimbus Roman No9 L" w:eastAsia="方正楷体_GBK" w:cs="Nimbus Roman No9 L"/>
          <w:sz w:val="32"/>
          <w:szCs w:val="32"/>
          <w:u w:val="none" w:color="auto"/>
          <w:lang w:val="en-US" w:eastAsia="zh-CN"/>
        </w:rPr>
        <w:t>（三）方案提要。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本次方案涉及拟调整医疗服务项目价格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89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项。拟调价的项目中，上调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项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护理类项目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价格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平均涨幅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" w:eastAsia="zh-CN"/>
        </w:rPr>
        <w:t>14.71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%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；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下调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87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项价格，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其中检查类76项、治疗类10项、手术类1项，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平均降幅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  <w:u w:val="none" w:color="auto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Nimbus Roman No9 L" w:hAnsi="Nimbus Roman No9 L" w:eastAsia="黑体" w:cs="Nimbus Roman No9 L"/>
          <w:sz w:val="32"/>
          <w:szCs w:val="32"/>
          <w:u w:val="none" w:color="auto"/>
          <w:lang w:val="en-US" w:eastAsia="zh-CN"/>
        </w:rPr>
        <w:t>、社会承受能力分析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u w:val="none" w:color="auto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b/>
          <w:bCs/>
          <w:sz w:val="32"/>
          <w:szCs w:val="32"/>
          <w:u w:val="none" w:color="auto"/>
          <w:lang w:val="en-US" w:eastAsia="zh-CN"/>
        </w:rPr>
        <w:t>一是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本次调价总量为-126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" w:eastAsia="zh-CN"/>
        </w:rPr>
        <w:t>3.89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元，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将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进一步减轻群众医疗费用负担。</w:t>
      </w:r>
      <w:r>
        <w:rPr>
          <w:rFonts w:hint="default" w:ascii="Nimbus Roman No9 L" w:hAnsi="Nimbus Roman No9 L" w:eastAsia="方正仿宋_GBK" w:cs="Nimbus Roman No9 L"/>
          <w:b/>
          <w:bCs/>
          <w:sz w:val="32"/>
          <w:szCs w:val="32"/>
          <w:u w:val="none" w:color="auto"/>
          <w:lang w:val="en-US" w:eastAsia="zh-CN"/>
        </w:rPr>
        <w:t>二是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调价总量按照统筹基金支付70%的比例计算，将节约医保基金支出88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" w:eastAsia="zh-CN"/>
        </w:rPr>
        <w:t>4.72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万元，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有利于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医保统筹基金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更好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运行。</w:t>
      </w:r>
      <w:r>
        <w:rPr>
          <w:rFonts w:hint="default" w:ascii="Nimbus Roman No9 L" w:hAnsi="Nimbus Roman No9 L" w:eastAsia="方正仿宋_GBK" w:cs="Nimbus Roman No9 L"/>
          <w:b/>
          <w:bCs/>
          <w:sz w:val="32"/>
          <w:szCs w:val="32"/>
          <w:u w:val="none" w:color="auto"/>
          <w:lang w:val="en-US" w:eastAsia="zh-CN"/>
        </w:rPr>
        <w:t>三是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调价总量按照患者个人自付30%的比例计算，预计节约患者个人支出37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" w:eastAsia="zh-CN"/>
        </w:rPr>
        <w:t>9.17</w:t>
      </w:r>
      <w:r>
        <w:rPr>
          <w:rFonts w:hint="default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万元，</w:t>
      </w:r>
      <w:r>
        <w:rPr>
          <w:rFonts w:hint="eastAsia" w:ascii="Nimbus Roman No9 L" w:hAnsi="Nimbus Roman No9 L" w:eastAsia="方正仿宋_GBK" w:cs="Nimbus Roman No9 L"/>
          <w:sz w:val="32"/>
          <w:szCs w:val="32"/>
          <w:u w:val="none" w:color="auto"/>
          <w:lang w:val="en-US" w:eastAsia="zh-CN"/>
        </w:rPr>
        <w:t>将小幅减少</w:t>
      </w:r>
      <w:r>
        <w:rPr>
          <w:rFonts w:hint="default" w:ascii="Nimbus Roman No9 L" w:hAnsi="Nimbus Roman No9 L" w:eastAsia="方正仿宋_GBK" w:cs="Nimbus Roman No9 L"/>
          <w:sz w:val="32"/>
          <w:szCs w:val="32"/>
          <w:u w:val="none" w:color="auto"/>
          <w:lang w:val="en-US" w:eastAsia="zh-CN"/>
        </w:rPr>
        <w:t>患者负担。</w:t>
      </w:r>
      <w:r>
        <w:rPr>
          <w:rFonts w:hint="default" w:ascii="Nimbus Roman No9 L" w:hAnsi="Nimbus Roman No9 L" w:eastAsia="方正仿宋_GBK" w:cs="Nimbus Roman No9 L"/>
          <w:b/>
          <w:bCs/>
          <w:sz w:val="32"/>
          <w:szCs w:val="32"/>
          <w:u w:val="none" w:color="auto"/>
          <w:lang w:val="en-US" w:eastAsia="zh-CN"/>
        </w:rPr>
        <w:t>四是</w:t>
      </w:r>
      <w:r>
        <w:rPr>
          <w:rFonts w:hint="default" w:ascii="Nimbus Roman No9 L" w:hAnsi="Nimbus Roman No9 L" w:eastAsia="方正仿宋_GBK" w:cs="Nimbus Roman No9 L"/>
          <w:sz w:val="32"/>
          <w:szCs w:val="32"/>
          <w:u w:val="none" w:color="auto"/>
          <w:lang w:val="en-US" w:eastAsia="zh-CN"/>
        </w:rPr>
        <w:t>本次调整的项目中，未包括腹膜透析项目，对腹透患者没有影响。调增项目仅二级、三级护理，且均为医保支付项目，未包括主要依靠设备、气体、各种光等进行治疗或手术的项目。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u w:val="none" w:color="auto"/>
          <w:lang w:val="en-US" w:eastAsia="zh-CN"/>
        </w:rPr>
        <w:t xml:space="preserve">    四、实施方法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本次医疗服务价格动态调整</w:t>
      </w:r>
      <w:r>
        <w:rPr>
          <w:rFonts w:hint="eastAsia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下调项目</w:t>
      </w:r>
      <w:r>
        <w:rPr>
          <w:rFonts w:hint="default" w:ascii="Times New Roman" w:hAnsi="Times New Roman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计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u w:val="none" w:color="auto"/>
          <w:lang w:val="en-US" w:eastAsia="zh-CN"/>
        </w:rPr>
        <w:t>划于</w:t>
      </w:r>
      <w:r>
        <w:rPr>
          <w:rFonts w:hint="default" w:ascii="Nimbus Roman No9 L" w:hAnsi="Nimbus Roman No9 L" w:eastAsia="方正仿宋_GBK" w:cs="Nimbus Roman No9 L"/>
          <w:spacing w:val="0"/>
          <w:kern w:val="21"/>
          <w:sz w:val="32"/>
          <w:szCs w:val="32"/>
          <w:u w:val="none" w:color="auto"/>
          <w:lang w:val="en-US" w:eastAsia="zh-CN"/>
        </w:rPr>
        <w:t>2025年1月1日起执行，实施范围为新疆维吾尔自治区和新疆生产建设兵团公立医疗机构。护理类项目的调整，</w:t>
      </w:r>
      <w:r>
        <w:rPr>
          <w:rFonts w:hint="eastAsia" w:ascii="Nimbus Roman No9 L" w:hAnsi="Nimbus Roman No9 L" w:eastAsia="方正仿宋_GBK" w:cs="Nimbus Roman No9 L"/>
          <w:spacing w:val="8"/>
          <w:sz w:val="32"/>
          <w:szCs w:val="32"/>
          <w:u w:val="none" w:color="auto"/>
          <w:lang w:val="en-US" w:eastAsia="zh-CN"/>
        </w:rPr>
        <w:t>即二级护理由18元/日调至20元/日，一级护理由9元/日调至10元/</w:t>
      </w:r>
      <w:r>
        <w:rPr>
          <w:rFonts w:hint="eastAsia" w:eastAsia="方正仿宋_GBK" w:cs="Times New Roman"/>
          <w:spacing w:val="11"/>
          <w:kern w:val="21"/>
          <w:sz w:val="32"/>
          <w:szCs w:val="32"/>
          <w:u w:val="none" w:color="auto"/>
          <w:lang w:val="en-US" w:eastAsia="zh-CN"/>
        </w:rPr>
        <w:t>日，拟按照国家医保局要求，在规范我区护理类医疗服务价格项目时落地执行。</w:t>
      </w:r>
    </w:p>
    <w:p>
      <w:pPr>
        <w:pStyle w:val="2"/>
        <w:ind w:firstLine="64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7D91B-7CBB-4F2D-8D5F-6E381B18CB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8D7180-2CE6-47BA-870C-6E4F757AA106}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D6768A36-C65C-40E2-8624-5142EE642A8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9FCE837-C6FC-484F-9CA8-8A498C1F24F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4CFC29C-2CC9-440B-852D-56821CCB47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E6C75B87-65FE-455F-8233-33C342CFC685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594DB3DE-A8EF-47D1-B579-34418607D2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BBF545E"/>
    <w:rsid w:val="2B33E4EC"/>
    <w:rsid w:val="391D084A"/>
    <w:rsid w:val="471E19D6"/>
    <w:rsid w:val="5B1FFA40"/>
    <w:rsid w:val="5BFE23E5"/>
    <w:rsid w:val="674C1233"/>
    <w:rsid w:val="7BBF545E"/>
    <w:rsid w:val="F73AE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1473</Characters>
  <Lines>0</Lines>
  <Paragraphs>0</Paragraphs>
  <TotalTime>1</TotalTime>
  <ScaleCrop>false</ScaleCrop>
  <LinksUpToDate>false</LinksUpToDate>
  <CharactersWithSpaces>1537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2024-11-14T02:46:00Z</dcterms:created>
  <dc:creator>ybj</dc:creator>
  <cp:lastModifiedBy>Administrator</cp:lastModifiedBy>
  <cp:lastPrinted>2024-11-14T21:21:00Z</cp:lastPrinted>
  <dcterms:modified xsi:type="dcterms:W3CDTF">2024-11-14T08:44:41Z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54DC19EC722345A49EF6A2B5FF7724AA</vt:lpwstr>
  </property>
</Properties>
</file>