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辅助生殖类医疗服务价格项目情况表</w:t>
      </w:r>
    </w:p>
    <w:tbl>
      <w:tblPr>
        <w:tblStyle w:val="8"/>
        <w:tblW w:w="14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50"/>
        <w:gridCol w:w="1447"/>
        <w:gridCol w:w="1605"/>
        <w:gridCol w:w="4215"/>
        <w:gridCol w:w="960"/>
        <w:gridCol w:w="990"/>
        <w:gridCol w:w="73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财务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分类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项目编码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项目内涵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除外内容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收费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标准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5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31120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辅助生殖</w:t>
            </w:r>
          </w:p>
        </w:tc>
        <w:tc>
          <w:tcPr>
            <w:tcW w:w="10223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1.本表内项目涉及的组织/体液/细胞，主要指卵母细胞（极体）、胚胎、囊胚、精液、精子等与辅助生殖相关。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2.本表内“项目内涵”，指医疗机构提供医疗服务项目服务时，用于确定计价单元的边界，不应作为临床技术标准理解，不是手术实际操作方式、路径、步骤、程序的强制性要求。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本表项目内涵中所称“基本物耗”指原则上限于不应或不必要与医疗服务项目分割的易耗品，包括但不限于各类消杀用品、储存用品、清洁用品、个人防护用品、垃圾处理用品、培养液、冷冻保护液、冷冻液、解冻液、辅助生殖用液、试管、载杆载体辅助生殖器皿及装置、冲洗液、润滑剂、灌洗液、棉球、棉签、纱布（垫）、护垫、衬垫、手术巾（单）、治疗巾（单）、治疗护理盘(包）、注射器、滑石粉、防渗漏垫、标签、可复用的操作器具、冲洗工具。基本物耗成本计入项目价格，不另行收费。除基本物耗以外的其他耗材，按照实际采购价格零差率销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4.本表所列“取卵术”不包含超声引导，医疗机构在超声引导下取卵可参照“临床操作的彩色多普勒超声（或B超）引导”项目+“取卵数”计费。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本表内“组织/体液/细胞冷冻（或冷冻续存）”，价格构成中“解冻复苏”指卵母细胞（极体）、精液、精子等与辅助生殖相关的解冻复苏，不包含胚胎、囊胚的解冻操作，“管”指包括但不限于用于装载辅助生殖组织、体液或细胞所需的试管、载杆等载体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6.本表所列“胚胎移植”加收项“冻融胚胎”指解冻复苏的胚胎（含囊胚）。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7.本表所列“取精术”加收项“显微镜下操作”指在显微镜下完成切开睾丸/附睾获取精子的操作过程。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8.本表中所列“穿刺”为主项操作涉及的必要穿刺技术。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G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取卵术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指通过临床技术操作获得卵母细胞。含穿刺、取卵、卵泡冲洗、计数、评估过程中的人力资源和基本物质消耗。不含超声引导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31120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胚胎培养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指将精卵采取体外结合形式进行培养。含受精、培养、观察、评估等获得胚胎（囊胚）过程中的人力资源和基本物质消耗。不含单精子注射。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31120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3002a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胚胎培养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31120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3002b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囊胚培养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加收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31120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组织/体液/细胞冷冻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（辅助生殖）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指将辅助生殖相关组织、体液、细胞转移至冷冻载体，冷冻及解冻复苏过程中的人力资源和基本物质消耗。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管·次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价格含冷冻当天起保存2个月的费用，不足2月按2月计费。冻存结束前只收取一次。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31120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组织/体液/细胞冷冻续存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（辅助生殖）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指冷冻后的辅助生殖相关组织、体液、细胞持续冻存至解冻复苏前或约定截止保存时间，期间的人力资源和基本物质消耗。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管·月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冷冻后保存超过2月的，按每管每月（管·月）收取续存费用，不足1月按1月计费；不得重复收取“组织/体液/细胞冷冻（辅助生殖）”费用。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胚胎移植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将胚胎或囊胚移送至患者宫腔内，含胚胎评估、移送至患者宫腔内过程中所需的人力资源和基本物质消耗。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03005b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冻融胚胎移植加收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未成熟卵体外成熟培养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指未成熟卵进行体外培养。含未成熟卵处理、培养、观察、评估、激活过程中所需的人力资源和基本物质消耗。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胚胎辅助孵化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指将胚胎通过物理或化学的方法，将透明带制造一处缺损或裂隙，提高着床成功率。含筛选、调试、透明带处理、记录过程中所需的人力资源和基本物质消耗。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900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组织、细胞活检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（辅助生殖）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在囊胚/卵裂期胚胎/卵母细胞等辅助生殖相关的组织、细胞上分离出检测标本。含筛选、评估、透明带处理，吸取分离标本过程中所需的人力资源和基本物质消耗。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每个胚胎（卵）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收费最高不超过6000元。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03009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人工授精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通过临床操作将精液注入患者宫腔内。含精液注入、观察等过程中所需的人力资源和基本物质消耗。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精子来源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精子优选处理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通过实验室手段从精液中筛选优质精子。含精液采集、分析、处理、筛选、评估过程中所需的人力资源和基本物质消耗。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取精术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指通过手术方式获取精子。含穿刺、分离、获取精子评估过程中的人力资源和基本物质消耗。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03011a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取精术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03011b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显微镜下切开取精术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单精子注射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指将优选处理后精子注射进卵母细胞，促进形成胚胎。含将精子制动、吸入，注入卵母细胞胞浆等过程中的人力资源和基本物质资源消耗。不含精子优选处理。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1.从第2卵·次起加收50%。2.本项目价格最高不超过6800元。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单精子注射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卵·次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300</w:t>
            </w: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E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3112</w:t>
            </w:r>
            <w:r>
              <w:rPr>
                <w:rFonts w:hint="eastAsia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03012b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卵子激活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е®‹дЅ“" w:hAnsi="е®‹дЅ“" w:eastAsia="е®‹дЅ“" w:cs="Times New Roman"/>
                <w:color w:val="000000"/>
                <w:kern w:val="2"/>
                <w:sz w:val="1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" w:eastAsia="zh-CN" w:bidi="ar-SA"/>
              </w:rPr>
              <w:t>800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Style w:val="5"/>
        <w:rPr>
          <w:rFonts w:hint="default"/>
          <w:highlight w:val="none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highlight w:val="none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A9A598-5AEB-4923-85EE-89072D1031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2BE24F-37CD-45AB-9F43-D88CD47BB57B}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7EF957F7-2A95-4562-AC01-8D0D8917050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1EE0316-4983-412E-8F29-FC488B22BCC6}"/>
  </w:font>
  <w:font w:name="瀹嬩綋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7BE75528-BA20-4999-9281-A261BE062892}"/>
  </w:font>
  <w:font w:name="е®‹дЅ“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0A0A527-902B-446E-BE7D-9B1A37141C61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BDDDE4A2"/>
    <w:rsid w:val="178D2DAD"/>
    <w:rsid w:val="3715605F"/>
    <w:rsid w:val="BDDDE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6">
    <w:name w:val="Body Text First Indent 2"/>
    <w:basedOn w:val="4"/>
    <w:qFormat/>
    <w:uiPriority w:val="0"/>
    <w:pPr>
      <w:spacing w:before="40" w:after="40"/>
      <w:ind w:firstLine="860"/>
    </w:pPr>
    <w:rPr>
      <w:rFonts w:ascii="黑体" w:hAnsi="黑体" w:eastAsia="黑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2024-03-27T12:19:00Z</dcterms:created>
  <dc:creator>ybj</dc:creator>
  <cp:lastModifiedBy>zhou</cp:lastModifiedBy>
  <dcterms:modified xsi:type="dcterms:W3CDTF">2024-03-29T10:11:06Z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4BA255C86D754F97823FC814182A74A3_13</vt:lpwstr>
  </property>
</Properties>
</file>