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C5" w:rsidRDefault="00C553D9">
      <w:pPr>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附件1</w:t>
      </w:r>
    </w:p>
    <w:p w:rsidR="005B2AC5" w:rsidRDefault="005B2AC5">
      <w:pPr>
        <w:rPr>
          <w:rFonts w:asciiTheme="minorEastAsia" w:eastAsiaTheme="minorEastAsia" w:hAnsiTheme="minorEastAsia" w:cstheme="minorEastAsia"/>
          <w:b/>
          <w:bCs/>
          <w:sz w:val="52"/>
          <w:szCs w:val="52"/>
          <w:lang w:eastAsia="zh-CN"/>
        </w:rPr>
      </w:pPr>
    </w:p>
    <w:p w:rsidR="005B2AC5" w:rsidRPr="006B3BAE" w:rsidRDefault="00736D5E">
      <w:pPr>
        <w:jc w:val="center"/>
        <w:rPr>
          <w:rFonts w:ascii="方正小标宋_GBK" w:eastAsia="方正小标宋_GBK" w:hAnsiTheme="minorEastAsia" w:cstheme="minorEastAsia"/>
          <w:bCs/>
          <w:sz w:val="44"/>
          <w:szCs w:val="52"/>
          <w:lang w:eastAsia="zh-CN"/>
        </w:rPr>
      </w:pPr>
      <w:r w:rsidRPr="006B3BAE">
        <w:rPr>
          <w:rFonts w:ascii="方正小标宋_GBK" w:eastAsia="方正小标宋_GBK" w:hAnsiTheme="minorEastAsia" w:cstheme="minorEastAsia" w:hint="eastAsia"/>
          <w:bCs/>
          <w:sz w:val="44"/>
          <w:szCs w:val="52"/>
          <w:lang w:eastAsia="zh-CN"/>
        </w:rPr>
        <w:t>2021</w:t>
      </w:r>
      <w:r w:rsidR="00D20DB4" w:rsidRPr="006B3BAE">
        <w:rPr>
          <w:rFonts w:ascii="方正小标宋_GBK" w:eastAsia="方正小标宋_GBK" w:hAnsiTheme="minorEastAsia" w:cstheme="minorEastAsia" w:hint="eastAsia"/>
          <w:bCs/>
          <w:sz w:val="44"/>
          <w:szCs w:val="52"/>
          <w:lang w:eastAsia="zh-CN"/>
        </w:rPr>
        <w:t>年自治</w:t>
      </w:r>
      <w:r w:rsidRPr="006B3BAE">
        <w:rPr>
          <w:rFonts w:ascii="方正小标宋_GBK" w:eastAsia="方正小标宋_GBK" w:hAnsiTheme="minorEastAsia" w:cstheme="minorEastAsia" w:hint="eastAsia"/>
          <w:bCs/>
          <w:sz w:val="44"/>
          <w:szCs w:val="52"/>
          <w:lang w:eastAsia="zh-CN"/>
        </w:rPr>
        <w:t>区本级</w:t>
      </w:r>
      <w:r w:rsidR="00D20DB4" w:rsidRPr="006B3BAE">
        <w:rPr>
          <w:rFonts w:ascii="方正小标宋_GBK" w:eastAsia="方正小标宋_GBK" w:hAnsiTheme="minorEastAsia" w:cstheme="minorEastAsia" w:hint="eastAsia"/>
          <w:bCs/>
          <w:sz w:val="44"/>
          <w:szCs w:val="52"/>
          <w:lang w:eastAsia="zh-CN"/>
        </w:rPr>
        <w:t>基本</w:t>
      </w:r>
      <w:r w:rsidRPr="006B3BAE">
        <w:rPr>
          <w:rFonts w:ascii="方正小标宋_GBK" w:eastAsia="方正小标宋_GBK" w:hAnsiTheme="minorEastAsia" w:cstheme="minorEastAsia" w:hint="eastAsia"/>
          <w:bCs/>
          <w:sz w:val="44"/>
          <w:szCs w:val="52"/>
          <w:lang w:eastAsia="zh-CN"/>
        </w:rPr>
        <w:t>医疗保险基金</w:t>
      </w:r>
    </w:p>
    <w:p w:rsidR="005B2AC5" w:rsidRPr="006B3BAE" w:rsidRDefault="00D20DB4">
      <w:pPr>
        <w:jc w:val="center"/>
        <w:rPr>
          <w:rFonts w:ascii="方正小标宋_GBK" w:eastAsia="方正小标宋_GBK" w:hAnsiTheme="minorEastAsia" w:cstheme="minorEastAsia"/>
          <w:bCs/>
          <w:sz w:val="44"/>
          <w:szCs w:val="52"/>
          <w:lang w:eastAsia="zh-CN"/>
        </w:rPr>
      </w:pPr>
      <w:r w:rsidRPr="006B3BAE">
        <w:rPr>
          <w:rFonts w:ascii="方正小标宋_GBK" w:eastAsia="方正小标宋_GBK" w:hAnsiTheme="minorEastAsia" w:cstheme="minorEastAsia" w:hint="eastAsia"/>
          <w:bCs/>
          <w:sz w:val="44"/>
          <w:szCs w:val="52"/>
          <w:lang w:eastAsia="zh-CN"/>
        </w:rPr>
        <w:t>预算草案</w:t>
      </w:r>
    </w:p>
    <w:p w:rsidR="005B2AC5" w:rsidRDefault="005B2AC5">
      <w:pPr>
        <w:rPr>
          <w:rFonts w:asciiTheme="minorEastAsia" w:eastAsiaTheme="minorEastAsia" w:hAnsiTheme="minorEastAsia" w:cstheme="minorEastAsia"/>
          <w:sz w:val="28"/>
          <w:szCs w:val="28"/>
          <w:lang w:eastAsia="zh-CN"/>
        </w:rPr>
      </w:pPr>
    </w:p>
    <w:p w:rsidR="005B2AC5" w:rsidRDefault="005B2AC5">
      <w:pPr>
        <w:jc w:val="center"/>
        <w:rPr>
          <w:rFonts w:asciiTheme="minorEastAsia" w:eastAsiaTheme="minorEastAsia" w:hAnsiTheme="minorEastAsia" w:cstheme="minorEastAsia"/>
          <w:sz w:val="28"/>
          <w:szCs w:val="28"/>
          <w:lang w:eastAsia="zh-CN"/>
        </w:rPr>
      </w:pPr>
    </w:p>
    <w:p w:rsidR="005B2AC5" w:rsidRPr="00D20DB4" w:rsidRDefault="005B2AC5">
      <w:pPr>
        <w:jc w:val="center"/>
        <w:rPr>
          <w:rFonts w:asciiTheme="minorEastAsia" w:eastAsiaTheme="minorEastAsia" w:hAnsiTheme="minorEastAsia" w:cstheme="minorEastAsia"/>
          <w:sz w:val="28"/>
          <w:szCs w:val="28"/>
          <w:lang w:eastAsia="zh-CN"/>
        </w:rPr>
      </w:pPr>
    </w:p>
    <w:p w:rsidR="005B2AC5" w:rsidRDefault="005B2AC5">
      <w:pPr>
        <w:jc w:val="center"/>
        <w:rPr>
          <w:rFonts w:asciiTheme="minorEastAsia" w:eastAsiaTheme="minorEastAsia" w:hAnsiTheme="minorEastAsia" w:cstheme="minorEastAsia"/>
          <w:sz w:val="28"/>
          <w:szCs w:val="28"/>
          <w:lang w:eastAsia="zh-CN"/>
        </w:rPr>
      </w:pPr>
    </w:p>
    <w:p w:rsidR="005B2AC5" w:rsidRDefault="005B2AC5">
      <w:pPr>
        <w:jc w:val="center"/>
        <w:rPr>
          <w:rFonts w:asciiTheme="minorEastAsia" w:eastAsiaTheme="minorEastAsia" w:hAnsiTheme="minorEastAsia" w:cstheme="minorEastAsia"/>
          <w:sz w:val="28"/>
          <w:szCs w:val="28"/>
          <w:lang w:eastAsia="zh-CN"/>
        </w:rPr>
      </w:pPr>
    </w:p>
    <w:p w:rsidR="005B2AC5" w:rsidRDefault="005B2AC5">
      <w:pPr>
        <w:jc w:val="center"/>
        <w:rPr>
          <w:rFonts w:asciiTheme="minorEastAsia" w:eastAsiaTheme="minorEastAsia" w:hAnsiTheme="minorEastAsia" w:cstheme="minorEastAsia"/>
          <w:sz w:val="28"/>
          <w:szCs w:val="28"/>
          <w:lang w:eastAsia="zh-CN"/>
        </w:rPr>
      </w:pPr>
    </w:p>
    <w:p w:rsidR="005B2AC5" w:rsidRDefault="005B2AC5">
      <w:pPr>
        <w:jc w:val="center"/>
        <w:rPr>
          <w:rFonts w:asciiTheme="minorEastAsia" w:eastAsiaTheme="minorEastAsia" w:hAnsiTheme="minorEastAsia" w:cstheme="minorEastAsia"/>
          <w:sz w:val="28"/>
          <w:szCs w:val="28"/>
          <w:lang w:eastAsia="zh-CN"/>
        </w:rPr>
      </w:pPr>
    </w:p>
    <w:p w:rsidR="005B2AC5" w:rsidRDefault="005B2AC5">
      <w:pPr>
        <w:jc w:val="center"/>
        <w:rPr>
          <w:rFonts w:asciiTheme="minorEastAsia" w:eastAsiaTheme="minorEastAsia" w:hAnsiTheme="minorEastAsia" w:cstheme="minorEastAsia"/>
          <w:sz w:val="28"/>
          <w:szCs w:val="28"/>
          <w:lang w:eastAsia="zh-CN"/>
        </w:rPr>
      </w:pPr>
    </w:p>
    <w:p w:rsidR="005B2AC5" w:rsidRDefault="005B2AC5">
      <w:pPr>
        <w:jc w:val="center"/>
        <w:rPr>
          <w:rFonts w:asciiTheme="minorEastAsia" w:eastAsiaTheme="minorEastAsia" w:hAnsiTheme="minorEastAsia" w:cstheme="minorEastAsia"/>
          <w:sz w:val="28"/>
          <w:szCs w:val="28"/>
          <w:lang w:eastAsia="zh-CN"/>
        </w:rPr>
      </w:pPr>
    </w:p>
    <w:p w:rsidR="005B2AC5" w:rsidRDefault="005B2AC5">
      <w:pPr>
        <w:jc w:val="both"/>
        <w:rPr>
          <w:rFonts w:asciiTheme="minorEastAsia" w:eastAsiaTheme="minorEastAsia" w:hAnsiTheme="minorEastAsia" w:cstheme="minorEastAsia"/>
          <w:sz w:val="28"/>
          <w:szCs w:val="28"/>
          <w:lang w:eastAsia="zh-CN"/>
        </w:rPr>
      </w:pPr>
    </w:p>
    <w:p w:rsidR="005B2AC5" w:rsidRDefault="005B2AC5">
      <w:pPr>
        <w:jc w:val="center"/>
        <w:rPr>
          <w:rFonts w:asciiTheme="minorEastAsia" w:eastAsiaTheme="minorEastAsia" w:hAnsiTheme="minorEastAsia" w:cstheme="minorEastAsia"/>
          <w:sz w:val="28"/>
          <w:szCs w:val="28"/>
          <w:lang w:eastAsia="zh-CN"/>
        </w:rPr>
      </w:pPr>
    </w:p>
    <w:p w:rsidR="005B2AC5" w:rsidRDefault="00736D5E">
      <w:pPr>
        <w:jc w:val="center"/>
        <w:rPr>
          <w:rFonts w:asciiTheme="minorEastAsia" w:eastAsiaTheme="minorEastAsia" w:hAnsiTheme="minorEastAsia" w:cstheme="minorEastAsia"/>
          <w:sz w:val="36"/>
          <w:szCs w:val="36"/>
          <w:lang w:eastAsia="zh-CN"/>
        </w:rPr>
      </w:pPr>
      <w:r>
        <w:rPr>
          <w:rFonts w:asciiTheme="minorEastAsia" w:eastAsiaTheme="minorEastAsia" w:hAnsiTheme="minorEastAsia" w:cstheme="minorEastAsia" w:hint="eastAsia"/>
          <w:sz w:val="36"/>
          <w:szCs w:val="36"/>
          <w:lang w:eastAsia="zh-CN"/>
        </w:rPr>
        <w:t>2020年1</w:t>
      </w:r>
      <w:r w:rsidR="00C553D9">
        <w:rPr>
          <w:rFonts w:asciiTheme="minorEastAsia" w:eastAsiaTheme="minorEastAsia" w:hAnsiTheme="minorEastAsia" w:cstheme="minorEastAsia" w:hint="eastAsia"/>
          <w:sz w:val="36"/>
          <w:szCs w:val="36"/>
          <w:lang w:eastAsia="zh-CN"/>
        </w:rPr>
        <w:t>1</w:t>
      </w:r>
      <w:r>
        <w:rPr>
          <w:rFonts w:asciiTheme="minorEastAsia" w:eastAsiaTheme="minorEastAsia" w:hAnsiTheme="minorEastAsia" w:cstheme="minorEastAsia" w:hint="eastAsia"/>
          <w:sz w:val="36"/>
          <w:szCs w:val="36"/>
          <w:lang w:eastAsia="zh-CN"/>
        </w:rPr>
        <w:t>月</w:t>
      </w:r>
    </w:p>
    <w:p w:rsidR="005B2AC5" w:rsidRDefault="005B2AC5">
      <w:pPr>
        <w:jc w:val="center"/>
        <w:rPr>
          <w:rFonts w:asciiTheme="minorEastAsia" w:eastAsiaTheme="minorEastAsia" w:hAnsiTheme="minorEastAsia" w:cstheme="minorEastAsia"/>
          <w:sz w:val="28"/>
          <w:szCs w:val="28"/>
          <w:lang w:eastAsia="zh-CN"/>
        </w:rPr>
      </w:pPr>
    </w:p>
    <w:p w:rsidR="005B2AC5" w:rsidRDefault="005B2AC5">
      <w:pPr>
        <w:jc w:val="both"/>
        <w:rPr>
          <w:rFonts w:asciiTheme="minorEastAsia" w:eastAsiaTheme="minorEastAsia" w:hAnsiTheme="minorEastAsia" w:cstheme="minorEastAsia"/>
          <w:sz w:val="28"/>
          <w:szCs w:val="28"/>
          <w:lang w:eastAsia="zh-CN"/>
        </w:rPr>
      </w:pPr>
    </w:p>
    <w:p w:rsidR="005B2AC5" w:rsidRDefault="005B2AC5">
      <w:pPr>
        <w:rPr>
          <w:rFonts w:asciiTheme="minorEastAsia" w:eastAsiaTheme="minorEastAsia" w:hAnsiTheme="minorEastAsia" w:cstheme="minorEastAsia" w:hint="eastAsia"/>
          <w:color w:val="3366FF"/>
          <w:sz w:val="28"/>
          <w:szCs w:val="28"/>
          <w:lang w:eastAsia="zh-CN"/>
        </w:rPr>
      </w:pPr>
    </w:p>
    <w:p w:rsidR="006A2276" w:rsidRPr="006A2276" w:rsidRDefault="006A2276">
      <w:pPr>
        <w:rPr>
          <w:rFonts w:asciiTheme="minorEastAsia" w:eastAsiaTheme="minorEastAsia" w:hAnsiTheme="minorEastAsia" w:cstheme="minorEastAsia"/>
          <w:color w:val="3366FF"/>
          <w:sz w:val="28"/>
          <w:szCs w:val="28"/>
          <w:lang w:eastAsia="zh-CN"/>
        </w:rPr>
        <w:sectPr w:rsidR="006A2276" w:rsidRPr="006A2276" w:rsidSect="00604117">
          <w:headerReference w:type="default" r:id="rId9"/>
          <w:footerReference w:type="default" r:id="rId10"/>
          <w:headerReference w:type="first" r:id="rId11"/>
          <w:pgSz w:w="11906" w:h="16838"/>
          <w:pgMar w:top="2098" w:right="1531" w:bottom="1985" w:left="1531" w:header="851" w:footer="992" w:gutter="0"/>
          <w:pgNumType w:fmt="numberInDash" w:start="1"/>
          <w:cols w:space="720"/>
          <w:titlePg/>
          <w:docGrid w:type="lines" w:linePitch="326"/>
        </w:sectPr>
      </w:pPr>
    </w:p>
    <w:p w:rsidR="005B2AC5" w:rsidRPr="006B3BAE" w:rsidRDefault="00736D5E">
      <w:pPr>
        <w:pStyle w:val="2"/>
        <w:spacing w:line="360" w:lineRule="auto"/>
        <w:jc w:val="center"/>
        <w:rPr>
          <w:rFonts w:ascii="黑体" w:eastAsia="黑体" w:hAnsi="黑体" w:cstheme="minorEastAsia"/>
          <w:b w:val="0"/>
          <w:i w:val="0"/>
          <w:sz w:val="32"/>
          <w:lang w:eastAsia="zh-CN"/>
        </w:rPr>
      </w:pPr>
      <w:bookmarkStart w:id="0" w:name="_Toc17767"/>
      <w:bookmarkStart w:id="1" w:name="_Toc434572532"/>
      <w:bookmarkStart w:id="2" w:name="_Toc23681"/>
      <w:r w:rsidRPr="006B3BAE">
        <w:rPr>
          <w:rFonts w:ascii="黑体" w:eastAsia="黑体" w:hAnsi="黑体" w:cstheme="minorEastAsia" w:hint="eastAsia"/>
          <w:b w:val="0"/>
          <w:i w:val="0"/>
          <w:sz w:val="32"/>
          <w:lang w:eastAsia="zh-CN"/>
        </w:rPr>
        <w:lastRenderedPageBreak/>
        <w:t>第一部分</w:t>
      </w:r>
    </w:p>
    <w:p w:rsidR="005B2AC5" w:rsidRPr="006B3BAE" w:rsidRDefault="00736D5E">
      <w:pPr>
        <w:pStyle w:val="2"/>
        <w:spacing w:line="360" w:lineRule="auto"/>
        <w:jc w:val="center"/>
        <w:rPr>
          <w:rFonts w:ascii="仿宋_GB2312" w:eastAsia="仿宋_GB2312" w:hAnsiTheme="minorEastAsia" w:cstheme="minorEastAsia"/>
          <w:b w:val="0"/>
          <w:bCs w:val="0"/>
          <w:i w:val="0"/>
          <w:sz w:val="32"/>
          <w:lang w:eastAsia="zh-CN"/>
        </w:rPr>
      </w:pPr>
      <w:r w:rsidRPr="006B3BAE">
        <w:rPr>
          <w:rFonts w:ascii="仿宋_GB2312" w:eastAsia="仿宋_GB2312" w:hAnsiTheme="minorEastAsia" w:cstheme="minorEastAsia" w:hint="eastAsia"/>
          <w:b w:val="0"/>
          <w:bCs w:val="0"/>
          <w:i w:val="0"/>
          <w:sz w:val="32"/>
          <w:lang w:eastAsia="zh-CN"/>
        </w:rPr>
        <w:t>2021年区本级预算编制总体情况</w:t>
      </w:r>
      <w:bookmarkEnd w:id="0"/>
      <w:bookmarkEnd w:id="1"/>
      <w:bookmarkEnd w:id="2"/>
    </w:p>
    <w:p w:rsidR="005B2AC5" w:rsidRPr="006B3BAE" w:rsidRDefault="00736D5E" w:rsidP="006B3BAE">
      <w:pPr>
        <w:spacing w:line="360" w:lineRule="auto"/>
        <w:ind w:leftChars="100" w:left="240" w:firstLineChars="200" w:firstLine="560"/>
        <w:jc w:val="both"/>
        <w:rPr>
          <w:rFonts w:ascii="仿宋_GB2312" w:eastAsia="仿宋_GB2312" w:hAnsiTheme="minorEastAsia" w:cstheme="minorEastAsia"/>
          <w:sz w:val="32"/>
          <w:szCs w:val="28"/>
          <w:lang w:eastAsia="zh-CN"/>
        </w:rPr>
      </w:pPr>
      <w:r>
        <w:rPr>
          <w:rFonts w:asciiTheme="minorEastAsia" w:eastAsiaTheme="minorEastAsia" w:hAnsiTheme="minorEastAsia" w:cstheme="minorEastAsia" w:hint="eastAsia"/>
          <w:sz w:val="28"/>
          <w:szCs w:val="28"/>
          <w:lang w:eastAsia="zh-CN"/>
        </w:rPr>
        <w:t>按</w:t>
      </w:r>
      <w:r w:rsidRPr="006B3BAE">
        <w:rPr>
          <w:rFonts w:ascii="仿宋_GB2312" w:eastAsia="仿宋_GB2312" w:hAnsiTheme="minorEastAsia" w:cstheme="minorEastAsia" w:hint="eastAsia"/>
          <w:sz w:val="32"/>
          <w:szCs w:val="28"/>
          <w:lang w:eastAsia="zh-CN"/>
        </w:rPr>
        <w:t>照2021年新疆维吾尔自治区医疗保险基金预算工作有关要求，参考区本级2020年医疗保险基金预算执行情况、基金实际收支情况及其他变动因素，编制2021年医疗保险基金预算。现将预算编制工作情况作如下说明。</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一、预算编制范围：区本级（含自治区本级直管、乌石化、铁路局、吐哈油田）的职工基本医疗保险（含生育保险），</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二、预算编制原则：坚持“以收定支，收支平衡，略有结余”的原则，根据历年医疗保险基金运行情况和政策调整情况编制2021年基本医疗保险基金预算。</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三、预算指标测算依据：按照《2020年全区社会保险基金预算指标测算说明》相关要求，为确保预算数据真实、合理，对部分测算指标进行了修正。</w:t>
      </w:r>
    </w:p>
    <w:p w:rsidR="005B2AC5" w:rsidRPr="006B3BAE" w:rsidRDefault="00736D5E">
      <w:pPr>
        <w:shd w:val="clear" w:color="auto" w:fill="FFFFFF"/>
        <w:spacing w:line="600" w:lineRule="atLeast"/>
        <w:ind w:firstLine="552"/>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四、重大政策变化情况：根据《自治区新冠肺炎疫情防控工作指挥部关于印发&lt;自治区医疗保障局 财政厅 国家税务总局新疆维吾尔自治区税务局关于阶段性减征职工基本医疗保险费的实施意见&gt;的通知》，自治区区本级自2020年2月起，对职工医</w:t>
      </w:r>
      <w:r w:rsidRPr="006B3BAE">
        <w:rPr>
          <w:rFonts w:ascii="仿宋_GB2312" w:eastAsia="仿宋_GB2312" w:hAnsiTheme="minorEastAsia" w:cstheme="minorEastAsia" w:hint="eastAsia"/>
          <w:sz w:val="32"/>
          <w:szCs w:val="28"/>
          <w:lang w:eastAsia="zh-CN"/>
        </w:rPr>
        <w:lastRenderedPageBreak/>
        <w:t>保单位缴费部分实行减半征收，减征期为5个月（2020年2月至2020年6月），减征期间单位在职职工执行4.9%的缴费费率，退休职工执行4.5%的缴费费率。铁路、乌石化、吐哈油田按照现执行费率减半执行。2月份已按原政策缴过费的单位，对减半部分予以退费。因受疫情影响无法按时缴纳基本医疗保险费用的单位，可申请缓缴，缓缴期限原则上不超过6个月，缓缴期间不影响职工医疗保险待遇和生育待遇。缓缴期间，达到最低缴费年限不缴费的退休人员，个人账户资金正常划入。缓缴期满应及时办理补缴，缓缴期间免收滞纳金和利息。</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五、2021年区本级基本医疗保险基金总收入预算423,543万元，其中征缴收入411,379万元（统筹基金收入预算243,376万元,个人帐户收入预算168,003万元），同比增加88965万元，增长27.59%；2021年基本医疗保险基金总支出预算336,443万元，其中待遇支出333,067万元（统筹基金支出预算214,289万元,个人帐户支出预算118,778万元），同比增加74212万元，增长28.67%。</w:t>
      </w:r>
    </w:p>
    <w:p w:rsidR="005B2AC5" w:rsidRPr="006B3BAE" w:rsidRDefault="00736D5E" w:rsidP="006B3BAE">
      <w:pPr>
        <w:numPr>
          <w:ilvl w:val="0"/>
          <w:numId w:val="1"/>
        </w:numPr>
        <w:spacing w:line="360" w:lineRule="auto"/>
        <w:ind w:firstLineChars="200" w:firstLine="640"/>
        <w:jc w:val="both"/>
        <w:rPr>
          <w:rFonts w:ascii="仿宋_GB2312" w:eastAsia="仿宋_GB2312" w:hAnsiTheme="minorEastAsia" w:cstheme="minorEastAsia"/>
          <w:sz w:val="32"/>
          <w:szCs w:val="28"/>
          <w:lang w:eastAsia="zh-CN"/>
        </w:rPr>
      </w:pPr>
      <w:bookmarkStart w:id="3" w:name="_Toc402054722"/>
      <w:bookmarkStart w:id="4" w:name="_Toc17967"/>
      <w:bookmarkStart w:id="5" w:name="_Toc6958"/>
      <w:r w:rsidRPr="006B3BAE">
        <w:rPr>
          <w:rFonts w:ascii="仿宋_GB2312" w:eastAsia="仿宋_GB2312" w:hAnsiTheme="minorEastAsia" w:cstheme="minorEastAsia" w:hint="eastAsia"/>
          <w:sz w:val="32"/>
          <w:szCs w:val="28"/>
          <w:lang w:eastAsia="zh-CN"/>
        </w:rPr>
        <w:t>区本级2021年预算当期结余87,111万元（其中：统筹基金结余33,280万元,个人帐户结余53,831万元），较2020年预计执行当期结余72,288万元增长20.51%。2021年预算滚存结</w:t>
      </w:r>
      <w:r w:rsidRPr="006B3BAE">
        <w:rPr>
          <w:rFonts w:ascii="仿宋_GB2312" w:eastAsia="仿宋_GB2312" w:hAnsiTheme="minorEastAsia" w:cstheme="minorEastAsia" w:hint="eastAsia"/>
          <w:sz w:val="32"/>
          <w:szCs w:val="28"/>
          <w:lang w:eastAsia="zh-CN"/>
        </w:rPr>
        <w:lastRenderedPageBreak/>
        <w:t>余767,224万元（其中：统筹基金累计结余370,228万元、个人帐户累计结余396,996万元），较2020年年末滚存结余预计执行数680,114万元增长12.81%。</w:t>
      </w:r>
    </w:p>
    <w:p w:rsidR="005B2AC5" w:rsidRPr="006B3BAE" w:rsidRDefault="00736D5E">
      <w:pPr>
        <w:pStyle w:val="2"/>
        <w:spacing w:line="360" w:lineRule="auto"/>
        <w:jc w:val="center"/>
        <w:rPr>
          <w:rFonts w:ascii="黑体" w:eastAsia="黑体" w:hAnsi="黑体"/>
          <w:b w:val="0"/>
          <w:sz w:val="32"/>
          <w:lang w:eastAsia="zh-CN"/>
        </w:rPr>
      </w:pPr>
      <w:r w:rsidRPr="006B3BAE">
        <w:rPr>
          <w:rFonts w:ascii="黑体" w:eastAsia="黑体" w:hAnsi="黑体" w:cstheme="minorEastAsia" w:hint="eastAsia"/>
          <w:b w:val="0"/>
          <w:i w:val="0"/>
          <w:sz w:val="32"/>
          <w:lang w:eastAsia="zh-CN"/>
        </w:rPr>
        <w:t>第二部分</w:t>
      </w:r>
    </w:p>
    <w:bookmarkEnd w:id="3"/>
    <w:bookmarkEnd w:id="4"/>
    <w:bookmarkEnd w:id="5"/>
    <w:p w:rsidR="005B2AC5" w:rsidRDefault="00736D5E">
      <w:pPr>
        <w:spacing w:line="360" w:lineRule="auto"/>
        <w:jc w:val="center"/>
        <w:rPr>
          <w:rFonts w:asciiTheme="minorEastAsia" w:eastAsiaTheme="minorEastAsia" w:hAnsiTheme="minorEastAsia" w:cstheme="minorEastAsia"/>
          <w:b/>
          <w:bCs/>
          <w:sz w:val="28"/>
          <w:szCs w:val="28"/>
          <w:lang w:eastAsia="zh-CN"/>
        </w:rPr>
      </w:pPr>
      <w:r>
        <w:rPr>
          <w:rFonts w:asciiTheme="minorEastAsia" w:eastAsiaTheme="minorEastAsia" w:hAnsiTheme="minorEastAsia" w:cstheme="minorEastAsia" w:hint="eastAsia"/>
          <w:b/>
          <w:bCs/>
          <w:sz w:val="28"/>
          <w:szCs w:val="28"/>
          <w:lang w:eastAsia="zh-CN"/>
        </w:rPr>
        <w:t>2021年区本级职工基本医疗基金预算编制情况</w:t>
      </w:r>
    </w:p>
    <w:p w:rsidR="005B2AC5" w:rsidRDefault="00736D5E">
      <w:pPr>
        <w:spacing w:line="360" w:lineRule="auto"/>
        <w:rPr>
          <w:rFonts w:asciiTheme="minorEastAsia" w:eastAsiaTheme="minorEastAsia" w:hAnsiTheme="minorEastAsia" w:cstheme="minorEastAsia"/>
          <w:b/>
          <w:bCs/>
          <w:sz w:val="28"/>
          <w:szCs w:val="28"/>
          <w:lang w:eastAsia="zh-CN"/>
        </w:rPr>
      </w:pPr>
      <w:r>
        <w:rPr>
          <w:rFonts w:asciiTheme="minorEastAsia" w:eastAsiaTheme="minorEastAsia" w:hAnsiTheme="minorEastAsia" w:cstheme="minorEastAsia" w:hint="eastAsia"/>
          <w:b/>
          <w:bCs/>
          <w:sz w:val="28"/>
          <w:szCs w:val="28"/>
          <w:lang w:eastAsia="zh-CN"/>
        </w:rPr>
        <w:t>（一）2020年区本级职工基本医疗保险基金预计执行情况</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1.2020年区本级职工基本医疗保险基金收入(统账结合)预计执行数为322,414万元，完成2020年职工基本医疗保险基金预算收入(统账结合)380,536万元的84.73%。区本级自2020年2月起，对职工医保单位缴费部分实行减半征收，减征期为5个月（2020年2月至2020年6月），</w:t>
      </w:r>
      <w:bookmarkStart w:id="6" w:name="_GoBack"/>
      <w:bookmarkEnd w:id="6"/>
      <w:r w:rsidRPr="006B3BAE">
        <w:rPr>
          <w:rFonts w:ascii="仿宋_GB2312" w:eastAsia="仿宋_GB2312" w:hAnsiTheme="minorEastAsia" w:cstheme="minorEastAsia" w:hint="eastAsia"/>
          <w:sz w:val="32"/>
          <w:szCs w:val="28"/>
          <w:lang w:eastAsia="zh-CN"/>
        </w:rPr>
        <w:t>减征期间单位在职职工执行4.9%的缴费费率，退休职工执行4.5%的缴费费率。铁路、乌石化、吐哈油田按照现执行费率减半执行。因此2020年区本级职工基本医疗保险基金(统账结合)预计执行收入较2020年基本医疗保险基金(统账结合)预算收入降低15.27%。</w:t>
      </w:r>
    </w:p>
    <w:p w:rsidR="005B2AC5" w:rsidRDefault="00736D5E">
      <w:pPr>
        <w:spacing w:line="160" w:lineRule="atLeast"/>
        <w:ind w:firstLineChars="200" w:firstLine="402"/>
        <w:jc w:val="center"/>
        <w:rPr>
          <w:rFonts w:asciiTheme="minorEastAsia" w:eastAsiaTheme="minorEastAsia" w:hAnsiTheme="minorEastAsia" w:cstheme="minorEastAsia"/>
          <w:b/>
          <w:bCs/>
          <w:sz w:val="20"/>
          <w:szCs w:val="20"/>
          <w:lang w:eastAsia="zh-CN"/>
        </w:rPr>
      </w:pPr>
      <w:r>
        <w:rPr>
          <w:rFonts w:asciiTheme="minorEastAsia" w:eastAsiaTheme="minorEastAsia" w:hAnsiTheme="minorEastAsia" w:cstheme="minorEastAsia" w:hint="eastAsia"/>
          <w:b/>
          <w:bCs/>
          <w:sz w:val="20"/>
          <w:szCs w:val="20"/>
          <w:lang w:eastAsia="zh-CN"/>
        </w:rPr>
        <w:t>2020年(统账结合)预计执行收入完成预算率明细</w:t>
      </w:r>
    </w:p>
    <w:p w:rsidR="005B2AC5" w:rsidRDefault="00736D5E">
      <w:pPr>
        <w:spacing w:line="160" w:lineRule="atLeast"/>
        <w:ind w:firstLineChars="200" w:firstLine="400"/>
        <w:jc w:val="right"/>
        <w:rPr>
          <w:rFonts w:asciiTheme="minorEastAsia" w:eastAsiaTheme="minorEastAsia" w:hAnsiTheme="minorEastAsia" w:cstheme="minorEastAsia"/>
          <w:sz w:val="20"/>
          <w:szCs w:val="21"/>
          <w:lang w:eastAsia="zh-CN"/>
        </w:rPr>
      </w:pPr>
      <w:r>
        <w:rPr>
          <w:rFonts w:asciiTheme="minorEastAsia" w:eastAsiaTheme="minorEastAsia" w:hAnsiTheme="minorEastAsia" w:cstheme="minorEastAsia" w:hint="eastAsia"/>
          <w:sz w:val="20"/>
          <w:szCs w:val="21"/>
          <w:lang w:eastAsia="zh-CN"/>
        </w:rPr>
        <w:t>单位：万元</w:t>
      </w:r>
    </w:p>
    <w:tbl>
      <w:tblPr>
        <w:tblW w:w="8878" w:type="dxa"/>
        <w:jc w:val="center"/>
        <w:tblCellMar>
          <w:left w:w="0" w:type="dxa"/>
          <w:right w:w="0" w:type="dxa"/>
        </w:tblCellMar>
        <w:tblLook w:val="04A0"/>
      </w:tblPr>
      <w:tblGrid>
        <w:gridCol w:w="1354"/>
        <w:gridCol w:w="2119"/>
        <w:gridCol w:w="2139"/>
        <w:gridCol w:w="3266"/>
      </w:tblGrid>
      <w:tr w:rsidR="005B2AC5">
        <w:trPr>
          <w:trHeight w:val="643"/>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b/>
                <w:sz w:val="20"/>
                <w:szCs w:val="20"/>
              </w:rPr>
            </w:pPr>
            <w:r>
              <w:rPr>
                <w:rFonts w:ascii="宋体" w:hAnsi="宋体" w:cs="宋体" w:hint="eastAsia"/>
                <w:b/>
                <w:sz w:val="22"/>
                <w:szCs w:val="22"/>
                <w:lang w:eastAsia="zh-CN"/>
              </w:rPr>
              <w:t>收入</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2020预算数(统账结合)</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2020年预计执行(统账结合)</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预算完成率%</w:t>
            </w:r>
          </w:p>
        </w:tc>
      </w:tr>
      <w:tr w:rsidR="005B2AC5">
        <w:trPr>
          <w:trHeight w:val="643"/>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区本级</w:t>
            </w: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380536</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322414</w:t>
            </w:r>
          </w:p>
        </w:tc>
        <w:tc>
          <w:tcPr>
            <w:tcW w:w="3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84.73%</w:t>
            </w:r>
          </w:p>
        </w:tc>
      </w:tr>
      <w:tr w:rsidR="005B2AC5">
        <w:trPr>
          <w:trHeight w:val="643"/>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本级直管</w:t>
            </w: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264419</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224952</w:t>
            </w:r>
          </w:p>
        </w:tc>
        <w:tc>
          <w:tcPr>
            <w:tcW w:w="3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85.07%</w:t>
            </w:r>
          </w:p>
        </w:tc>
      </w:tr>
      <w:tr w:rsidR="005B2AC5">
        <w:trPr>
          <w:trHeight w:val="643"/>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lastRenderedPageBreak/>
              <w:t>乌石化</w:t>
            </w: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12253</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10009</w:t>
            </w:r>
          </w:p>
        </w:tc>
        <w:tc>
          <w:tcPr>
            <w:tcW w:w="3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81.69%</w:t>
            </w:r>
          </w:p>
        </w:tc>
      </w:tr>
      <w:tr w:rsidR="005B2AC5">
        <w:trPr>
          <w:trHeight w:val="643"/>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铁路局</w:t>
            </w: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85185</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71964</w:t>
            </w:r>
          </w:p>
        </w:tc>
        <w:tc>
          <w:tcPr>
            <w:tcW w:w="3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84.48%</w:t>
            </w:r>
          </w:p>
        </w:tc>
      </w:tr>
      <w:tr w:rsidR="005B2AC5">
        <w:trPr>
          <w:trHeight w:val="668"/>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吐哈</w:t>
            </w:r>
          </w:p>
        </w:tc>
        <w:tc>
          <w:tcPr>
            <w:tcW w:w="21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18679</w:t>
            </w:r>
          </w:p>
        </w:tc>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15489</w:t>
            </w:r>
          </w:p>
        </w:tc>
        <w:tc>
          <w:tcPr>
            <w:tcW w:w="3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0"/>
                <w:szCs w:val="20"/>
              </w:rPr>
            </w:pPr>
            <w:r>
              <w:rPr>
                <w:rFonts w:ascii="宋体" w:hAnsi="宋体" w:cs="宋体" w:hint="eastAsia"/>
                <w:sz w:val="22"/>
                <w:szCs w:val="22"/>
                <w:lang w:eastAsia="zh-CN"/>
              </w:rPr>
              <w:t>82.92%</w:t>
            </w:r>
          </w:p>
        </w:tc>
      </w:tr>
    </w:tbl>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2.2020年区本级职工基本医疗保险基金支出(统账结合)预计执行数为258,855万元，完成2020年职工基本医疗保险基金预算支出(统账结合)331,726万元的78.03%。</w:t>
      </w:r>
    </w:p>
    <w:p w:rsidR="005B2AC5" w:rsidRDefault="005B2AC5">
      <w:pPr>
        <w:spacing w:line="360" w:lineRule="auto"/>
        <w:jc w:val="both"/>
        <w:rPr>
          <w:rFonts w:asciiTheme="minorEastAsia" w:eastAsiaTheme="minorEastAsia" w:hAnsiTheme="minorEastAsia" w:cstheme="minorEastAsia"/>
          <w:sz w:val="28"/>
          <w:szCs w:val="28"/>
          <w:lang w:eastAsia="zh-CN"/>
        </w:rPr>
      </w:pPr>
    </w:p>
    <w:p w:rsidR="005B2AC5" w:rsidRDefault="00736D5E">
      <w:pPr>
        <w:spacing w:line="160" w:lineRule="atLeast"/>
        <w:ind w:firstLineChars="200" w:firstLine="402"/>
        <w:jc w:val="center"/>
        <w:rPr>
          <w:rFonts w:asciiTheme="minorEastAsia" w:eastAsiaTheme="minorEastAsia" w:hAnsiTheme="minorEastAsia" w:cstheme="minorEastAsia"/>
          <w:b/>
          <w:bCs/>
          <w:sz w:val="20"/>
          <w:szCs w:val="20"/>
          <w:lang w:eastAsia="zh-CN"/>
        </w:rPr>
      </w:pPr>
      <w:r>
        <w:rPr>
          <w:rFonts w:asciiTheme="minorEastAsia" w:eastAsiaTheme="minorEastAsia" w:hAnsiTheme="minorEastAsia" w:cstheme="minorEastAsia" w:hint="eastAsia"/>
          <w:b/>
          <w:bCs/>
          <w:sz w:val="20"/>
          <w:szCs w:val="20"/>
          <w:lang w:eastAsia="zh-CN"/>
        </w:rPr>
        <w:t>2020年（统账结合）预计支出完成预算率明细</w:t>
      </w:r>
    </w:p>
    <w:p w:rsidR="005B2AC5" w:rsidRDefault="00736D5E">
      <w:pPr>
        <w:spacing w:line="360" w:lineRule="auto"/>
        <w:ind w:firstLineChars="200" w:firstLine="400"/>
        <w:jc w:val="right"/>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z w:val="20"/>
          <w:szCs w:val="20"/>
          <w:lang w:eastAsia="zh-CN"/>
        </w:rPr>
        <w:t>单位：万元</w:t>
      </w:r>
    </w:p>
    <w:tbl>
      <w:tblPr>
        <w:tblW w:w="8577" w:type="dxa"/>
        <w:tblLayout w:type="fixed"/>
        <w:tblCellMar>
          <w:left w:w="0" w:type="dxa"/>
          <w:right w:w="0" w:type="dxa"/>
        </w:tblCellMar>
        <w:tblLook w:val="04A0"/>
      </w:tblPr>
      <w:tblGrid>
        <w:gridCol w:w="1154"/>
        <w:gridCol w:w="2192"/>
        <w:gridCol w:w="2423"/>
        <w:gridCol w:w="2808"/>
      </w:tblGrid>
      <w:tr w:rsidR="005B2AC5">
        <w:trPr>
          <w:trHeight w:val="669"/>
        </w:trPr>
        <w:tc>
          <w:tcPr>
            <w:tcW w:w="1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b/>
                <w:sz w:val="22"/>
                <w:szCs w:val="22"/>
              </w:rPr>
            </w:pPr>
            <w:r>
              <w:rPr>
                <w:rFonts w:ascii="宋体" w:hAnsi="宋体" w:cs="宋体" w:hint="eastAsia"/>
                <w:b/>
                <w:sz w:val="22"/>
                <w:szCs w:val="22"/>
                <w:lang w:eastAsia="zh-CN"/>
              </w:rPr>
              <w:t>支出</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2020年预算数(统账结合)</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2020年预计执行数(统账结合)</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预算完成率%</w:t>
            </w:r>
          </w:p>
        </w:tc>
      </w:tr>
      <w:tr w:rsidR="005B2AC5">
        <w:trPr>
          <w:trHeight w:val="669"/>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区本级</w:t>
            </w:r>
          </w:p>
        </w:tc>
        <w:tc>
          <w:tcPr>
            <w:tcW w:w="2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331726</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258855</w:t>
            </w:r>
          </w:p>
        </w:tc>
        <w:tc>
          <w:tcPr>
            <w:tcW w:w="2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78.03%</w:t>
            </w:r>
          </w:p>
        </w:tc>
      </w:tr>
      <w:tr w:rsidR="005B2AC5">
        <w:trPr>
          <w:trHeight w:val="669"/>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本级直管</w:t>
            </w:r>
          </w:p>
        </w:tc>
        <w:tc>
          <w:tcPr>
            <w:tcW w:w="2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227084</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183367</w:t>
            </w:r>
          </w:p>
        </w:tc>
        <w:tc>
          <w:tcPr>
            <w:tcW w:w="2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80.75%</w:t>
            </w:r>
          </w:p>
        </w:tc>
      </w:tr>
      <w:tr w:rsidR="005B2AC5">
        <w:trPr>
          <w:trHeight w:val="684"/>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乌石化</w:t>
            </w:r>
          </w:p>
        </w:tc>
        <w:tc>
          <w:tcPr>
            <w:tcW w:w="2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11256</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8818</w:t>
            </w:r>
          </w:p>
        </w:tc>
        <w:tc>
          <w:tcPr>
            <w:tcW w:w="2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78.34%</w:t>
            </w:r>
          </w:p>
        </w:tc>
      </w:tr>
      <w:tr w:rsidR="005B2AC5">
        <w:trPr>
          <w:trHeight w:val="669"/>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铁路局</w:t>
            </w:r>
          </w:p>
        </w:tc>
        <w:tc>
          <w:tcPr>
            <w:tcW w:w="2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73569</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49709</w:t>
            </w:r>
          </w:p>
        </w:tc>
        <w:tc>
          <w:tcPr>
            <w:tcW w:w="2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67.57%</w:t>
            </w:r>
          </w:p>
        </w:tc>
      </w:tr>
      <w:tr w:rsidR="005B2AC5">
        <w:trPr>
          <w:trHeight w:val="713"/>
        </w:trPr>
        <w:tc>
          <w:tcPr>
            <w:tcW w:w="11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吐哈</w:t>
            </w:r>
          </w:p>
        </w:tc>
        <w:tc>
          <w:tcPr>
            <w:tcW w:w="2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19817</w:t>
            </w:r>
          </w:p>
        </w:tc>
        <w:tc>
          <w:tcPr>
            <w:tcW w:w="24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16961</w:t>
            </w:r>
          </w:p>
        </w:tc>
        <w:tc>
          <w:tcPr>
            <w:tcW w:w="2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85.59%</w:t>
            </w:r>
          </w:p>
        </w:tc>
      </w:tr>
    </w:tbl>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3.2020年区本级职工基本医疗保险基金(统账结合)当期结余预计执行数为72,288万元（其中统筹基金当期结余12,319万元，个人账户基金当期结余59,969万元），累计结余(统账结合)</w:t>
      </w:r>
      <w:r w:rsidRPr="006B3BAE">
        <w:rPr>
          <w:rFonts w:ascii="仿宋_GB2312" w:eastAsia="仿宋_GB2312" w:hAnsiTheme="minorEastAsia" w:cstheme="minorEastAsia" w:hint="eastAsia"/>
          <w:sz w:val="32"/>
          <w:szCs w:val="28"/>
          <w:lang w:eastAsia="zh-CN"/>
        </w:rPr>
        <w:lastRenderedPageBreak/>
        <w:t>预计执行数为680,114万元（其中统筹基金当期结余336,949万元，个人账户基金当期结余343,165万元）。</w:t>
      </w:r>
    </w:p>
    <w:p w:rsidR="005B2AC5" w:rsidRPr="006B3BAE" w:rsidRDefault="00736D5E">
      <w:pPr>
        <w:spacing w:line="360" w:lineRule="auto"/>
        <w:rPr>
          <w:rFonts w:ascii="仿宋_GB2312" w:eastAsia="仿宋_GB2312" w:hAnsiTheme="minorEastAsia" w:cstheme="minorEastAsia"/>
          <w:b/>
          <w:bCs/>
          <w:sz w:val="32"/>
          <w:szCs w:val="28"/>
          <w:lang w:eastAsia="zh-CN"/>
        </w:rPr>
      </w:pPr>
      <w:r w:rsidRPr="006B3BAE">
        <w:rPr>
          <w:rFonts w:ascii="仿宋_GB2312" w:eastAsia="仿宋_GB2312" w:hAnsiTheme="minorEastAsia" w:cstheme="minorEastAsia" w:hint="eastAsia"/>
          <w:b/>
          <w:bCs/>
          <w:sz w:val="32"/>
          <w:szCs w:val="28"/>
          <w:lang w:eastAsia="zh-CN"/>
        </w:rPr>
        <w:t>(二)2021年区本级职工基本医疗保险基金收入预算情况</w:t>
      </w:r>
    </w:p>
    <w:p w:rsidR="005B2AC5" w:rsidRPr="006B3BAE" w:rsidRDefault="00736D5E">
      <w:pPr>
        <w:spacing w:line="360" w:lineRule="auto"/>
        <w:jc w:val="both"/>
        <w:rPr>
          <w:rFonts w:ascii="仿宋_GB2312" w:eastAsia="仿宋_GB2312" w:hAnsiTheme="minorEastAsia" w:cstheme="minorEastAsia"/>
          <w:b/>
          <w:bCs/>
          <w:sz w:val="32"/>
          <w:szCs w:val="28"/>
          <w:lang w:eastAsia="zh-CN"/>
        </w:rPr>
      </w:pPr>
      <w:r w:rsidRPr="006B3BAE">
        <w:rPr>
          <w:rFonts w:ascii="仿宋_GB2312" w:eastAsia="仿宋_GB2312" w:hAnsiTheme="minorEastAsia" w:cstheme="minorEastAsia" w:hint="eastAsia"/>
          <w:b/>
          <w:bCs/>
          <w:sz w:val="32"/>
          <w:szCs w:val="28"/>
          <w:lang w:eastAsia="zh-CN"/>
        </w:rPr>
        <w:t>1.2021年预算收入指标情况</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（1）2021年参保人数，按照历年增长规律结合2020年三季度实际参保人数，通过修正综合增长率测算2021年参保人数。</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2021年职工基本医疗保险预算参保人数在2020年的基础上增加2925人，2020年预计年末参保人数364502人（在职人员224925人，退休人员139577人）；2021年预算参保人数367427人（在职人员225845人，退休人员141582人）,参保人数较上年增长0.8%，其中在职人员增加920人，退休人员增加2005人，原因是受疫情影响招录工作推迟，招录人员未按计划到位。因此2021年总参保人数略微增长。</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3）2020年缴费基数总额预计执行数为6,638,720万元（单位缴费基数总额预计执行数为3,580,619万元；个人缴费基数总额预计执行数为3,058,101万元），2021单位缴费基数总额预算数为6,970,656万元（单位缴费基数总额预算数为3,759,650万元；个人缴费基数总额预算数为3,211,006万元），较上年增长5.00%。</w:t>
      </w:r>
    </w:p>
    <w:p w:rsidR="005B2AC5" w:rsidRPr="006B3BAE" w:rsidRDefault="00736D5E">
      <w:pPr>
        <w:spacing w:line="360" w:lineRule="auto"/>
        <w:jc w:val="both"/>
        <w:rPr>
          <w:rFonts w:ascii="仿宋_GB2312" w:eastAsia="仿宋_GB2312" w:hAnsiTheme="minorEastAsia" w:cstheme="minorEastAsia"/>
          <w:b/>
          <w:bCs/>
          <w:sz w:val="32"/>
          <w:szCs w:val="28"/>
          <w:lang w:eastAsia="zh-CN"/>
        </w:rPr>
      </w:pPr>
      <w:r w:rsidRPr="006B3BAE">
        <w:rPr>
          <w:rFonts w:ascii="仿宋_GB2312" w:eastAsia="仿宋_GB2312" w:hAnsiTheme="minorEastAsia" w:cstheme="minorEastAsia" w:hint="eastAsia"/>
          <w:b/>
          <w:bCs/>
          <w:sz w:val="32"/>
          <w:szCs w:val="28"/>
          <w:lang w:eastAsia="zh-CN"/>
        </w:rPr>
        <w:lastRenderedPageBreak/>
        <w:t>2.2021年预算收入情况</w:t>
      </w:r>
    </w:p>
    <w:p w:rsidR="005B2AC5" w:rsidRPr="006B3BAE" w:rsidRDefault="00736D5E">
      <w:pPr>
        <w:spacing w:line="360" w:lineRule="auto"/>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（1）基本医疗保险基金收入预算</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2021年区本级职工基本医疗保险费(统账结合)预算收入411,379万元，较上年预算收入增长27.59%，其中统筹基金预算收入243,376万元，较上年预算收入增长47.56%。个人账户基金预算收入168,003万元，较上年预算收入增长6.67%。</w:t>
      </w:r>
    </w:p>
    <w:p w:rsidR="005B2AC5" w:rsidRDefault="00736D5E">
      <w:pPr>
        <w:spacing w:line="360" w:lineRule="auto"/>
        <w:ind w:firstLineChars="200" w:firstLine="402"/>
        <w:jc w:val="center"/>
        <w:rPr>
          <w:rFonts w:asciiTheme="minorEastAsia" w:eastAsiaTheme="minorEastAsia" w:hAnsiTheme="minorEastAsia" w:cstheme="minorEastAsia"/>
          <w:b/>
          <w:bCs/>
          <w:sz w:val="20"/>
          <w:szCs w:val="20"/>
          <w:lang w:eastAsia="zh-CN"/>
        </w:rPr>
      </w:pPr>
      <w:r>
        <w:rPr>
          <w:rFonts w:asciiTheme="minorEastAsia" w:eastAsiaTheme="minorEastAsia" w:hAnsiTheme="minorEastAsia" w:cstheme="minorEastAsia" w:hint="eastAsia"/>
          <w:b/>
          <w:bCs/>
          <w:sz w:val="20"/>
          <w:szCs w:val="20"/>
          <w:lang w:eastAsia="zh-CN"/>
        </w:rPr>
        <w:t>2021年(统账结合)收入预算较2020年收入预算对比明细</w:t>
      </w:r>
    </w:p>
    <w:p w:rsidR="005B2AC5" w:rsidRDefault="00736D5E">
      <w:pPr>
        <w:spacing w:line="160" w:lineRule="atLeast"/>
        <w:ind w:firstLineChars="200" w:firstLine="360"/>
        <w:jc w:val="right"/>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z w:val="18"/>
          <w:szCs w:val="20"/>
          <w:lang w:eastAsia="zh-CN"/>
        </w:rPr>
        <w:t>单位：万元</w:t>
      </w:r>
    </w:p>
    <w:tbl>
      <w:tblPr>
        <w:tblW w:w="8420" w:type="dxa"/>
        <w:tblLayout w:type="fixed"/>
        <w:tblCellMar>
          <w:left w:w="0" w:type="dxa"/>
          <w:right w:w="0" w:type="dxa"/>
        </w:tblCellMar>
        <w:tblLook w:val="04A0"/>
      </w:tblPr>
      <w:tblGrid>
        <w:gridCol w:w="910"/>
        <w:gridCol w:w="1699"/>
        <w:gridCol w:w="1845"/>
        <w:gridCol w:w="1980"/>
        <w:gridCol w:w="1986"/>
      </w:tblGrid>
      <w:tr w:rsidR="005B2AC5">
        <w:trPr>
          <w:trHeight w:val="908"/>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b/>
                <w:sz w:val="22"/>
                <w:szCs w:val="22"/>
              </w:rPr>
            </w:pPr>
            <w:r>
              <w:rPr>
                <w:rFonts w:ascii="宋体" w:hAnsi="宋体" w:cs="宋体" w:hint="eastAsia"/>
                <w:b/>
                <w:sz w:val="22"/>
                <w:szCs w:val="22"/>
                <w:lang w:eastAsia="zh-CN"/>
              </w:rPr>
              <w:t>收入</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2020年预算数(统账结合)</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2020年预计执行数(统账结合)</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2021年预算数(统账结合)</w:t>
            </w:r>
          </w:p>
        </w:tc>
        <w:tc>
          <w:tcPr>
            <w:tcW w:w="1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增长率</w:t>
            </w:r>
          </w:p>
        </w:tc>
      </w:tr>
      <w:tr w:rsidR="005B2AC5">
        <w:trPr>
          <w:trHeight w:val="57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区本级</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380536</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322414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411379</w:t>
            </w:r>
          </w:p>
        </w:tc>
        <w:tc>
          <w:tcPr>
            <w:tcW w:w="1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8.11%</w:t>
            </w:r>
          </w:p>
        </w:tc>
      </w:tr>
      <w:tr w:rsidR="005B2AC5">
        <w:trPr>
          <w:trHeight w:val="57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本级直管</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sz w:val="22"/>
                <w:szCs w:val="22"/>
              </w:rPr>
              <w:t>264419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224952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287607</w:t>
            </w:r>
          </w:p>
        </w:tc>
        <w:tc>
          <w:tcPr>
            <w:tcW w:w="1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8.77%</w:t>
            </w:r>
          </w:p>
        </w:tc>
      </w:tr>
      <w:tr w:rsidR="005B2AC5">
        <w:trPr>
          <w:trHeight w:val="57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乌石化</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12253</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10009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12801</w:t>
            </w:r>
          </w:p>
        </w:tc>
        <w:tc>
          <w:tcPr>
            <w:tcW w:w="1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4.47%</w:t>
            </w:r>
          </w:p>
        </w:tc>
      </w:tr>
      <w:tr w:rsidR="005B2AC5">
        <w:trPr>
          <w:trHeight w:val="570"/>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铁路局</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85185</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71964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91639</w:t>
            </w:r>
          </w:p>
        </w:tc>
        <w:tc>
          <w:tcPr>
            <w:tcW w:w="1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7.58%</w:t>
            </w:r>
          </w:p>
        </w:tc>
      </w:tr>
      <w:tr w:rsidR="005B2AC5">
        <w:trPr>
          <w:trHeight w:val="599"/>
        </w:trPr>
        <w:tc>
          <w:tcPr>
            <w:tcW w:w="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吐哈</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18679</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15489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19332</w:t>
            </w:r>
          </w:p>
        </w:tc>
        <w:tc>
          <w:tcPr>
            <w:tcW w:w="1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3.50%</w:t>
            </w:r>
          </w:p>
        </w:tc>
      </w:tr>
    </w:tbl>
    <w:p w:rsidR="005B2AC5" w:rsidRDefault="005B2AC5">
      <w:pPr>
        <w:spacing w:line="360" w:lineRule="auto"/>
        <w:ind w:firstLineChars="200" w:firstLine="400"/>
        <w:jc w:val="center"/>
        <w:rPr>
          <w:rFonts w:asciiTheme="minorEastAsia" w:eastAsiaTheme="minorEastAsia" w:hAnsiTheme="minorEastAsia" w:cstheme="minorEastAsia"/>
          <w:sz w:val="20"/>
          <w:szCs w:val="20"/>
          <w:lang w:eastAsia="zh-CN"/>
        </w:rPr>
      </w:pPr>
    </w:p>
    <w:p w:rsidR="005B2AC5" w:rsidRDefault="00736D5E">
      <w:pPr>
        <w:spacing w:line="360" w:lineRule="auto"/>
        <w:ind w:firstLineChars="200" w:firstLine="402"/>
        <w:jc w:val="center"/>
        <w:rPr>
          <w:rFonts w:asciiTheme="minorEastAsia" w:eastAsiaTheme="minorEastAsia" w:hAnsiTheme="minorEastAsia" w:cstheme="minorEastAsia"/>
          <w:b/>
          <w:bCs/>
          <w:sz w:val="20"/>
          <w:szCs w:val="20"/>
          <w:lang w:eastAsia="zh-CN"/>
        </w:rPr>
      </w:pPr>
      <w:r>
        <w:rPr>
          <w:rFonts w:asciiTheme="minorEastAsia" w:eastAsiaTheme="minorEastAsia" w:hAnsiTheme="minorEastAsia" w:cstheme="minorEastAsia" w:hint="eastAsia"/>
          <w:b/>
          <w:bCs/>
          <w:sz w:val="20"/>
          <w:szCs w:val="20"/>
          <w:lang w:eastAsia="zh-CN"/>
        </w:rPr>
        <w:t>2021年统筹、个人账户收入预算较2020年收入预算对比明细</w:t>
      </w:r>
    </w:p>
    <w:p w:rsidR="005B2AC5" w:rsidRDefault="00736D5E">
      <w:pPr>
        <w:spacing w:line="160" w:lineRule="atLeast"/>
        <w:ind w:firstLineChars="200" w:firstLine="360"/>
        <w:jc w:val="right"/>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18"/>
          <w:szCs w:val="20"/>
          <w:lang w:eastAsia="zh-CN"/>
        </w:rPr>
        <w:t>单位：万元</w:t>
      </w:r>
    </w:p>
    <w:tbl>
      <w:tblPr>
        <w:tblW w:w="8517" w:type="dxa"/>
        <w:tblCellMar>
          <w:left w:w="0" w:type="dxa"/>
          <w:right w:w="0" w:type="dxa"/>
        </w:tblCellMar>
        <w:tblLook w:val="04A0"/>
      </w:tblPr>
      <w:tblGrid>
        <w:gridCol w:w="911"/>
        <w:gridCol w:w="1324"/>
        <w:gridCol w:w="1324"/>
        <w:gridCol w:w="1255"/>
        <w:gridCol w:w="1419"/>
        <w:gridCol w:w="1166"/>
        <w:gridCol w:w="1118"/>
      </w:tblGrid>
      <w:tr w:rsidR="005B2AC5">
        <w:trPr>
          <w:trHeight w:val="981"/>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b/>
                <w:sz w:val="22"/>
                <w:szCs w:val="22"/>
              </w:rPr>
            </w:pPr>
            <w:r>
              <w:rPr>
                <w:rFonts w:ascii="宋体" w:hAnsi="宋体" w:cs="宋体" w:hint="eastAsia"/>
                <w:b/>
                <w:sz w:val="22"/>
                <w:szCs w:val="22"/>
                <w:lang w:eastAsia="zh-CN"/>
              </w:rPr>
              <w:t>收入</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2020年预算数(统筹)</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2021年预算数(统筹)</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增长率</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2020年预算数(个人账户)</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2021年预算数(个人账户)</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增长率</w:t>
            </w:r>
          </w:p>
        </w:tc>
      </w:tr>
      <w:tr w:rsidR="005B2AC5">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区本级</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231930</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243377</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4.94%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148606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sz w:val="22"/>
                <w:szCs w:val="22"/>
              </w:rPr>
              <w:t>168003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8.72%</w:t>
            </w:r>
          </w:p>
        </w:tc>
      </w:tr>
      <w:tr w:rsidR="005B2AC5">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本级直管</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167018</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175124</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4.85%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97402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112483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13.05%</w:t>
            </w:r>
          </w:p>
        </w:tc>
      </w:tr>
      <w:tr w:rsidR="005B2AC5">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lastRenderedPageBreak/>
              <w:t>乌石化</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6170</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6333</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6083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6468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6.33%</w:t>
            </w:r>
          </w:p>
        </w:tc>
      </w:tr>
      <w:tr w:rsidR="005B2AC5">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铁路局</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50734</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53649</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5.75%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34450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sz w:val="22"/>
                <w:szCs w:val="22"/>
              </w:rPr>
              <w:t>37990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10.28%</w:t>
            </w:r>
          </w:p>
        </w:tc>
      </w:tr>
      <w:tr w:rsidR="005B2AC5">
        <w:trPr>
          <w:trHeight w:val="60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吐哈</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8008</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8271</w:t>
            </w:r>
          </w:p>
        </w:tc>
        <w:tc>
          <w:tcPr>
            <w:tcW w:w="12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3.28%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10671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sz w:val="22"/>
                <w:szCs w:val="22"/>
              </w:rPr>
              <w:t>11062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ind w:firstLineChars="100" w:firstLine="220"/>
              <w:textAlignment w:val="center"/>
              <w:rPr>
                <w:rFonts w:ascii="宋体" w:hAnsi="宋体" w:cs="宋体"/>
                <w:sz w:val="22"/>
                <w:szCs w:val="22"/>
              </w:rPr>
            </w:pPr>
            <w:r>
              <w:rPr>
                <w:rFonts w:ascii="宋体" w:hAnsi="宋体" w:cs="宋体" w:hint="eastAsia"/>
                <w:sz w:val="22"/>
                <w:szCs w:val="22"/>
                <w:lang w:eastAsia="zh-CN"/>
              </w:rPr>
              <w:t>3.66%</w:t>
            </w:r>
          </w:p>
        </w:tc>
      </w:tr>
    </w:tbl>
    <w:p w:rsidR="005B2AC5" w:rsidRPr="006B3BAE" w:rsidRDefault="00736D5E" w:rsidP="006B3BAE">
      <w:pPr>
        <w:spacing w:line="360" w:lineRule="auto"/>
        <w:ind w:firstLineChars="300" w:firstLine="960"/>
        <w:jc w:val="both"/>
        <w:rPr>
          <w:rFonts w:ascii="仿宋_GB2312" w:eastAsia="仿宋_GB2312" w:hAnsiTheme="minorEastAsia" w:cstheme="minorEastAsia"/>
          <w:sz w:val="18"/>
          <w:szCs w:val="16"/>
          <w:lang w:eastAsia="zh-CN"/>
        </w:rPr>
      </w:pPr>
      <w:r w:rsidRPr="006B3BAE">
        <w:rPr>
          <w:rFonts w:ascii="仿宋_GB2312" w:eastAsia="仿宋_GB2312" w:hAnsiTheme="minorEastAsia" w:cstheme="minorEastAsia" w:hint="eastAsia"/>
          <w:sz w:val="32"/>
          <w:szCs w:val="28"/>
          <w:lang w:eastAsia="zh-CN"/>
        </w:rPr>
        <w:t>2020年受疫情影响，缴费费率执行减半征收政策，2020年的预计执行数对2021预算数的无参考价值，因此，2021年的预算是在2019年年报数及2020年预算数的基础上测算的。</w:t>
      </w:r>
    </w:p>
    <w:p w:rsidR="005B2AC5" w:rsidRPr="006B3BAE" w:rsidRDefault="00736D5E">
      <w:pPr>
        <w:spacing w:line="360" w:lineRule="auto"/>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（2）利息收入预算</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18"/>
          <w:szCs w:val="16"/>
          <w:lang w:eastAsia="zh-CN"/>
        </w:rPr>
      </w:pPr>
      <w:r w:rsidRPr="006B3BAE">
        <w:rPr>
          <w:rFonts w:ascii="仿宋_GB2312" w:eastAsia="仿宋_GB2312" w:hAnsiTheme="minorEastAsia" w:cstheme="minorEastAsia" w:hint="eastAsia"/>
          <w:sz w:val="32"/>
          <w:szCs w:val="28"/>
          <w:lang w:eastAsia="zh-CN"/>
        </w:rPr>
        <w:t>区本级2020年职工基本医疗保险基金预计利息收入10,963万元，2021年预算利息收入11,012万元， 2021年预算利息收入较2020年预计利息收入上浮0.45%。</w:t>
      </w:r>
    </w:p>
    <w:p w:rsidR="005B2AC5" w:rsidRPr="006B3BAE" w:rsidRDefault="00736D5E">
      <w:pPr>
        <w:spacing w:line="360" w:lineRule="auto"/>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（3）其他收入预算</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其他收入为参保单位逾期缴纳医疗保险费产生的利息收入和滞纳金，2020年区本级职工基本医疗保险基金预计执行其他收入19.39万元，2021年其他收入预算数为20万元，较2020年预计执行其数增长3.15%。</w:t>
      </w:r>
    </w:p>
    <w:p w:rsidR="005B2AC5" w:rsidRPr="006B3BAE" w:rsidRDefault="00736D5E">
      <w:pPr>
        <w:spacing w:line="360" w:lineRule="auto"/>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（4）转移收入预算</w:t>
      </w:r>
    </w:p>
    <w:p w:rsidR="005B2AC5" w:rsidRPr="006B3BAE" w:rsidRDefault="00736D5E" w:rsidP="006B3BAE">
      <w:pPr>
        <w:spacing w:line="360" w:lineRule="auto"/>
        <w:ind w:firstLineChars="300" w:firstLine="96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2020年区本级职工基本医疗保险个人账户基金预计执行转移收入1,076万元，2021年转移收入预算数为1,132万元，同比增长5.20%。</w:t>
      </w:r>
    </w:p>
    <w:p w:rsidR="005B2AC5" w:rsidRPr="006B3BAE" w:rsidRDefault="00736D5E">
      <w:pPr>
        <w:spacing w:line="360" w:lineRule="auto"/>
        <w:rPr>
          <w:rFonts w:ascii="仿宋_GB2312" w:eastAsia="仿宋_GB2312" w:hAnsiTheme="minorEastAsia" w:cstheme="minorEastAsia"/>
          <w:b/>
          <w:bCs/>
          <w:sz w:val="32"/>
          <w:szCs w:val="28"/>
          <w:lang w:eastAsia="zh-CN"/>
        </w:rPr>
      </w:pPr>
      <w:r w:rsidRPr="006B3BAE">
        <w:rPr>
          <w:rFonts w:ascii="仿宋_GB2312" w:eastAsia="仿宋_GB2312" w:hAnsiTheme="minorEastAsia" w:cstheme="minorEastAsia" w:hint="eastAsia"/>
          <w:b/>
          <w:bCs/>
          <w:sz w:val="32"/>
          <w:szCs w:val="28"/>
          <w:lang w:eastAsia="zh-CN"/>
        </w:rPr>
        <w:lastRenderedPageBreak/>
        <w:t>（三）2021年区本级基本医疗保险基金支出预算情况</w:t>
      </w:r>
    </w:p>
    <w:p w:rsidR="005B2AC5" w:rsidRPr="006B3BAE" w:rsidRDefault="00736D5E">
      <w:pPr>
        <w:spacing w:line="360" w:lineRule="auto"/>
        <w:jc w:val="both"/>
        <w:rPr>
          <w:rFonts w:ascii="仿宋_GB2312" w:eastAsia="仿宋_GB2312" w:hAnsiTheme="minorEastAsia" w:cstheme="minorEastAsia"/>
          <w:b/>
          <w:bCs/>
          <w:sz w:val="32"/>
          <w:szCs w:val="28"/>
          <w:lang w:eastAsia="zh-CN"/>
        </w:rPr>
      </w:pPr>
      <w:r w:rsidRPr="006B3BAE">
        <w:rPr>
          <w:rFonts w:ascii="仿宋_GB2312" w:eastAsia="仿宋_GB2312" w:hAnsiTheme="minorEastAsia" w:cstheme="minorEastAsia" w:hint="eastAsia"/>
          <w:b/>
          <w:bCs/>
          <w:sz w:val="32"/>
          <w:szCs w:val="28"/>
          <w:lang w:eastAsia="zh-CN"/>
        </w:rPr>
        <w:t>1.支出预算指标情况</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1）2021年区本级住院支出预算148,915万元，其中住院人次预算为130,981人次，较上年增长16.88%；门诊支出预算161,464万元，其中普通门急诊人次预算为1,162,802人次，较上年增长6.36%；门诊大病人次预算为1,791,061人次，较上年增长42.44%；定点药店购药人次预算为2,978,081人次，较上年增长1.23%。</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2021年区本级生育待遇支出预算（含生育津贴）为22,687万元，同期增长3926万元，增幅20.93%。2021年区本级享受生育医疗费报销人次预算为5063人，较上年增长18.32%；享受生育津贴人次预算为4469人，较上年增长15.98%。</w:t>
      </w:r>
    </w:p>
    <w:p w:rsidR="005B2AC5" w:rsidRPr="006B3BAE" w:rsidRDefault="00736D5E">
      <w:pPr>
        <w:spacing w:line="360" w:lineRule="auto"/>
        <w:jc w:val="both"/>
        <w:rPr>
          <w:rFonts w:ascii="仿宋_GB2312" w:eastAsia="仿宋_GB2312" w:hAnsiTheme="minorEastAsia" w:cstheme="minorEastAsia"/>
          <w:b/>
          <w:bCs/>
          <w:sz w:val="32"/>
          <w:szCs w:val="28"/>
          <w:lang w:eastAsia="zh-CN"/>
        </w:rPr>
      </w:pPr>
      <w:r w:rsidRPr="006B3BAE">
        <w:rPr>
          <w:rFonts w:ascii="仿宋_GB2312" w:eastAsia="仿宋_GB2312" w:hAnsiTheme="minorEastAsia" w:cstheme="minorEastAsia" w:hint="eastAsia"/>
          <w:b/>
          <w:bCs/>
          <w:sz w:val="32"/>
          <w:szCs w:val="28"/>
          <w:lang w:eastAsia="zh-CN"/>
        </w:rPr>
        <w:t>2.2021年支出预算情况</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（1）基本医疗保险基金支出预算</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2021年区本级职工基本医疗保险基金(统账结合)预算支出333,067万元，其中统筹基金预算支出214,289万元，同期增长36.86%。个人账户基金预算支出118,778万元，同期增长16.13%。</w:t>
      </w:r>
    </w:p>
    <w:p w:rsidR="005B2AC5" w:rsidRPr="006B3BAE" w:rsidRDefault="00736D5E" w:rsidP="006B3BAE">
      <w:pPr>
        <w:spacing w:line="360" w:lineRule="auto"/>
        <w:ind w:firstLineChars="300" w:firstLine="96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2021年区本级职工基本医疗保险基金(统筹)预算支出较2020年基本医疗保险基金(统筹)预算支出增长0.40%，原因2020</w:t>
      </w:r>
      <w:r w:rsidRPr="006B3BAE">
        <w:rPr>
          <w:rFonts w:ascii="仿宋_GB2312" w:eastAsia="仿宋_GB2312" w:hAnsiTheme="minorEastAsia" w:cstheme="minorEastAsia" w:hint="eastAsia"/>
          <w:sz w:val="32"/>
          <w:szCs w:val="28"/>
          <w:lang w:eastAsia="zh-CN"/>
        </w:rPr>
        <w:lastRenderedPageBreak/>
        <w:t>年受两次疫情影响，住院和门诊人次均较2020年预算数大幅减少，因此2020年的预计执行数对2021预算数的无参考价值，2021年的预算是在2019年年报数及2020年预算数的基础上测算的，比2020年的预算数小幅度增长。</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2021年区本级职工基本医疗保险基金(个人账户)预算支出较2020年基本医疗保险基金(个人账户)预算支出降低2.81%。原因2020年受疫情影响住院门诊人数大幅度减少，2020年的预计执行数对2021预算数的无参考价值，2021年的预算是在2019年年报数及2020年预算数的基础上测算的，并在其基础上小幅增加。</w:t>
      </w:r>
    </w:p>
    <w:p w:rsidR="005B2AC5" w:rsidRDefault="00736D5E">
      <w:pPr>
        <w:spacing w:line="360" w:lineRule="auto"/>
        <w:ind w:firstLineChars="200" w:firstLine="440"/>
        <w:jc w:val="cente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2021年(统账结合)基金支出预算较2020年基金预算支出对比明细</w:t>
      </w:r>
    </w:p>
    <w:p w:rsidR="005B2AC5" w:rsidRDefault="00736D5E">
      <w:pPr>
        <w:spacing w:line="160" w:lineRule="atLeast"/>
        <w:ind w:firstLineChars="200" w:firstLine="360"/>
        <w:jc w:val="right"/>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z w:val="18"/>
          <w:szCs w:val="20"/>
          <w:lang w:eastAsia="zh-CN"/>
        </w:rPr>
        <w:t>单位：万元</w:t>
      </w:r>
    </w:p>
    <w:tbl>
      <w:tblPr>
        <w:tblW w:w="8418" w:type="dxa"/>
        <w:jc w:val="center"/>
        <w:tblLayout w:type="fixed"/>
        <w:tblCellMar>
          <w:left w:w="0" w:type="dxa"/>
          <w:right w:w="0" w:type="dxa"/>
        </w:tblCellMar>
        <w:tblLook w:val="04A0"/>
      </w:tblPr>
      <w:tblGrid>
        <w:gridCol w:w="1072"/>
        <w:gridCol w:w="1767"/>
        <w:gridCol w:w="1798"/>
        <w:gridCol w:w="1884"/>
        <w:gridCol w:w="1897"/>
      </w:tblGrid>
      <w:tr w:rsidR="005B2AC5">
        <w:trPr>
          <w:trHeight w:val="865"/>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b/>
                <w:sz w:val="18"/>
                <w:szCs w:val="18"/>
              </w:rPr>
            </w:pPr>
            <w:r>
              <w:rPr>
                <w:rFonts w:ascii="宋体" w:hAnsi="宋体" w:cs="宋体" w:hint="eastAsia"/>
                <w:b/>
                <w:sz w:val="22"/>
                <w:szCs w:val="22"/>
                <w:lang w:eastAsia="zh-CN"/>
              </w:rPr>
              <w:t>支出</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2020年预算数(统账结合)</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lang w:eastAsia="zh-CN"/>
              </w:rPr>
            </w:pPr>
            <w:r>
              <w:rPr>
                <w:rFonts w:ascii="宋体" w:hAnsi="宋体" w:cs="宋体" w:hint="eastAsia"/>
                <w:sz w:val="22"/>
                <w:szCs w:val="22"/>
                <w:lang w:eastAsia="zh-CN"/>
              </w:rPr>
              <w:t>2020年预计执行数(统账结合)</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2021年预算数(统账结合)</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lang w:eastAsia="zh-CN"/>
              </w:rPr>
            </w:pPr>
            <w:r>
              <w:rPr>
                <w:rFonts w:ascii="宋体" w:hAnsi="宋体" w:cs="宋体" w:hint="eastAsia"/>
                <w:sz w:val="22"/>
                <w:szCs w:val="22"/>
                <w:lang w:eastAsia="zh-CN"/>
              </w:rPr>
              <w:t>增长率</w:t>
            </w:r>
          </w:p>
        </w:tc>
      </w:tr>
      <w:tr w:rsidR="005B2AC5">
        <w:trPr>
          <w:trHeight w:val="446"/>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区本级</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331726</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258854</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333066</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0.40%</w:t>
            </w:r>
          </w:p>
        </w:tc>
      </w:tr>
      <w:tr w:rsidR="005B2AC5">
        <w:trPr>
          <w:trHeight w:val="446"/>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本级直管</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227084</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183366</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244433</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7.64%</w:t>
            </w:r>
          </w:p>
        </w:tc>
      </w:tr>
      <w:tr w:rsidR="005B2AC5">
        <w:trPr>
          <w:trHeight w:val="446"/>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乌石化</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11256</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8818</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10961</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-2.62%</w:t>
            </w:r>
          </w:p>
        </w:tc>
      </w:tr>
      <w:tr w:rsidR="005B2AC5">
        <w:trPr>
          <w:trHeight w:val="446"/>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铁路局</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73569</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49709</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59321</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-19.37%</w:t>
            </w:r>
          </w:p>
        </w:tc>
      </w:tr>
      <w:tr w:rsidR="005B2AC5">
        <w:trPr>
          <w:trHeight w:val="459"/>
          <w:jc w:val="center"/>
        </w:trPr>
        <w:tc>
          <w:tcPr>
            <w:tcW w:w="107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吐哈</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19817</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16961</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18351</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B2AC5" w:rsidRDefault="00736D5E">
            <w:pPr>
              <w:jc w:val="center"/>
              <w:textAlignment w:val="center"/>
              <w:rPr>
                <w:rFonts w:asciiTheme="minorEastAsia" w:eastAsiaTheme="minorEastAsia" w:hAnsiTheme="minorEastAsia" w:cstheme="minorEastAsia"/>
                <w:sz w:val="18"/>
                <w:szCs w:val="18"/>
              </w:rPr>
            </w:pPr>
            <w:r>
              <w:rPr>
                <w:rFonts w:ascii="宋体" w:hAnsi="宋体" w:cs="宋体" w:hint="eastAsia"/>
                <w:sz w:val="22"/>
                <w:szCs w:val="22"/>
                <w:lang w:eastAsia="zh-CN"/>
              </w:rPr>
              <w:t>-7.49%</w:t>
            </w:r>
          </w:p>
        </w:tc>
      </w:tr>
    </w:tbl>
    <w:p w:rsidR="005B2AC5" w:rsidRDefault="005B2AC5">
      <w:pPr>
        <w:spacing w:line="160" w:lineRule="atLeast"/>
        <w:jc w:val="both"/>
        <w:rPr>
          <w:rFonts w:asciiTheme="minorEastAsia" w:eastAsiaTheme="minorEastAsia" w:hAnsiTheme="minorEastAsia" w:cstheme="minorEastAsia"/>
          <w:sz w:val="20"/>
          <w:szCs w:val="20"/>
          <w:lang w:eastAsia="zh-CN"/>
        </w:rPr>
      </w:pPr>
    </w:p>
    <w:p w:rsidR="005B2AC5" w:rsidRDefault="00736D5E">
      <w:pPr>
        <w:spacing w:line="360" w:lineRule="auto"/>
        <w:ind w:firstLineChars="200" w:firstLine="440"/>
        <w:jc w:val="center"/>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z w:val="22"/>
          <w:szCs w:val="22"/>
          <w:lang w:eastAsia="zh-CN"/>
        </w:rPr>
        <w:t>2021年统筹、个人账户基金支出预算较2020年基金预算支出对比明细</w:t>
      </w:r>
    </w:p>
    <w:p w:rsidR="005B2AC5" w:rsidRDefault="00736D5E">
      <w:pPr>
        <w:spacing w:line="160" w:lineRule="atLeast"/>
        <w:ind w:firstLineChars="200" w:firstLine="360"/>
        <w:jc w:val="right"/>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z w:val="18"/>
          <w:szCs w:val="20"/>
          <w:lang w:eastAsia="zh-CN"/>
        </w:rPr>
        <w:t>单位：万元</w:t>
      </w:r>
    </w:p>
    <w:tbl>
      <w:tblPr>
        <w:tblpPr w:leftFromText="180" w:rightFromText="180" w:vertAnchor="text" w:horzAnchor="page" w:tblpX="1699" w:tblpY="307"/>
        <w:tblOverlap w:val="never"/>
        <w:tblW w:w="8377" w:type="dxa"/>
        <w:tblCellMar>
          <w:left w:w="0" w:type="dxa"/>
          <w:right w:w="0" w:type="dxa"/>
        </w:tblCellMar>
        <w:tblLook w:val="04A0"/>
      </w:tblPr>
      <w:tblGrid>
        <w:gridCol w:w="895"/>
        <w:gridCol w:w="1113"/>
        <w:gridCol w:w="1294"/>
        <w:gridCol w:w="1244"/>
        <w:gridCol w:w="1422"/>
        <w:gridCol w:w="1165"/>
        <w:gridCol w:w="1244"/>
      </w:tblGrid>
      <w:tr w:rsidR="005B2AC5">
        <w:trPr>
          <w:trHeight w:val="1201"/>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b/>
                <w:sz w:val="22"/>
                <w:szCs w:val="22"/>
              </w:rPr>
            </w:pPr>
            <w:r>
              <w:rPr>
                <w:rFonts w:ascii="宋体" w:hAnsi="宋体" w:cs="宋体" w:hint="eastAsia"/>
                <w:b/>
                <w:sz w:val="22"/>
                <w:szCs w:val="22"/>
                <w:lang w:eastAsia="zh-CN"/>
              </w:rPr>
              <w:lastRenderedPageBreak/>
              <w:t>支出</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2020年预算数(统筹)</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2021年预算数(统筹)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增长率</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2020年预算数(个人账户)</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2021年预算数(个人账户)</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增长率</w:t>
            </w:r>
          </w:p>
        </w:tc>
      </w:tr>
      <w:tr w:rsidR="005B2AC5">
        <w:trPr>
          <w:trHeight w:val="609"/>
        </w:trPr>
        <w:tc>
          <w:tcPr>
            <w:tcW w:w="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区本级</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170490</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214288</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25.69%</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135405</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118778</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-12.28%</w:t>
            </w:r>
          </w:p>
        </w:tc>
      </w:tr>
      <w:tr w:rsidR="005B2AC5">
        <w:trPr>
          <w:trHeight w:val="605"/>
        </w:trPr>
        <w:tc>
          <w:tcPr>
            <w:tcW w:w="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本级直管</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120419</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163830</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36.05%</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90215</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80603</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-10.65%</w:t>
            </w:r>
          </w:p>
        </w:tc>
      </w:tr>
      <w:tr w:rsidR="005B2AC5">
        <w:trPr>
          <w:trHeight w:val="534"/>
        </w:trPr>
        <w:tc>
          <w:tcPr>
            <w:tcW w:w="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乌石化</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5215</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6159</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18.10%</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5512</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4802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-12.88%</w:t>
            </w:r>
          </w:p>
        </w:tc>
      </w:tr>
      <w:tr w:rsidR="005B2AC5">
        <w:trPr>
          <w:trHeight w:val="504"/>
        </w:trPr>
        <w:tc>
          <w:tcPr>
            <w:tcW w:w="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铁路局</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38990</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36687</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-5.91%</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27128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22634</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-16.57%</w:t>
            </w:r>
          </w:p>
        </w:tc>
      </w:tr>
      <w:tr w:rsidR="005B2AC5">
        <w:trPr>
          <w:trHeight w:val="462"/>
        </w:trPr>
        <w:tc>
          <w:tcPr>
            <w:tcW w:w="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rPr>
            </w:pPr>
            <w:r>
              <w:rPr>
                <w:rFonts w:ascii="宋体" w:hAnsi="宋体" w:cs="宋体" w:hint="eastAsia"/>
                <w:sz w:val="22"/>
                <w:szCs w:val="22"/>
                <w:lang w:eastAsia="zh-CN"/>
              </w:rPr>
              <w:t>吐哈</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5866</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7612</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29.76%</w:t>
            </w:r>
          </w:p>
        </w:tc>
        <w:tc>
          <w:tcPr>
            <w:tcW w:w="14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12550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10739</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B2AC5" w:rsidRDefault="00736D5E">
            <w:pPr>
              <w:jc w:val="center"/>
              <w:textAlignment w:val="center"/>
              <w:rPr>
                <w:rFonts w:ascii="宋体" w:hAnsi="宋体" w:cs="宋体"/>
                <w:sz w:val="22"/>
                <w:szCs w:val="22"/>
                <w:lang w:eastAsia="zh-CN"/>
              </w:rPr>
            </w:pPr>
            <w:r>
              <w:rPr>
                <w:rFonts w:ascii="宋体" w:hAnsi="宋体" w:cs="宋体" w:hint="eastAsia"/>
                <w:sz w:val="22"/>
                <w:szCs w:val="22"/>
                <w:lang w:eastAsia="zh-CN"/>
              </w:rPr>
              <w:t>-14.43%</w:t>
            </w:r>
          </w:p>
        </w:tc>
      </w:tr>
    </w:tbl>
    <w:p w:rsidR="005B2AC5" w:rsidRPr="006B3BAE" w:rsidRDefault="00736D5E">
      <w:pPr>
        <w:spacing w:line="360" w:lineRule="auto"/>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（2）其他支出预算</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2021年将商保大病保险以每人60元缴费标准列入其他支出，2021年区本级职工其他支出预算2,187万元，2020年预计执行其他支出2,202万元。</w:t>
      </w:r>
    </w:p>
    <w:p w:rsidR="005B2AC5" w:rsidRPr="006B3BAE" w:rsidRDefault="00736D5E">
      <w:pPr>
        <w:spacing w:line="360" w:lineRule="auto"/>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（3）转移支出预算</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2021年区本级职工基本医疗保险个人账户基金转移支出1,179万元，较2020年预计执行转移支出增长4.70%。</w:t>
      </w:r>
    </w:p>
    <w:p w:rsidR="005B2AC5" w:rsidRPr="006B3BAE" w:rsidRDefault="00736D5E">
      <w:pPr>
        <w:spacing w:line="360" w:lineRule="auto"/>
        <w:jc w:val="center"/>
        <w:rPr>
          <w:rFonts w:ascii="仿宋_GB2312" w:eastAsia="仿宋_GB2312" w:hAnsiTheme="minorEastAsia" w:cstheme="minorEastAsia"/>
          <w:b/>
          <w:bCs/>
          <w:sz w:val="32"/>
          <w:szCs w:val="28"/>
          <w:lang w:eastAsia="zh-CN"/>
        </w:rPr>
      </w:pPr>
      <w:r w:rsidRPr="006B3BAE">
        <w:rPr>
          <w:rFonts w:ascii="仿宋_GB2312" w:eastAsia="仿宋_GB2312" w:hAnsiTheme="minorEastAsia" w:cstheme="minorEastAsia" w:hint="eastAsia"/>
          <w:b/>
          <w:bCs/>
          <w:sz w:val="32"/>
          <w:szCs w:val="28"/>
          <w:lang w:eastAsia="zh-CN"/>
        </w:rPr>
        <w:t>（四）预算执行结果预测</w:t>
      </w:r>
    </w:p>
    <w:p w:rsidR="005B2AC5" w:rsidRPr="006B3BAE" w:rsidRDefault="00736D5E" w:rsidP="006B3BAE">
      <w:p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自治区区本级自2020年2月起，对职工医保单位缴费部分实行减半征收，减征期为5个月（2020年2月至2020年6月）。减征期间单位在职职工执行4.9%的缴费费率，退休职工执行4.5%的缴费费率。铁路、乌石化、吐哈油田按照现执行费率减半</w:t>
      </w:r>
      <w:r w:rsidRPr="006B3BAE">
        <w:rPr>
          <w:rFonts w:ascii="仿宋_GB2312" w:eastAsia="仿宋_GB2312" w:hAnsiTheme="minorEastAsia" w:cstheme="minorEastAsia" w:hint="eastAsia"/>
          <w:sz w:val="32"/>
          <w:szCs w:val="28"/>
          <w:lang w:eastAsia="zh-CN"/>
        </w:rPr>
        <w:lastRenderedPageBreak/>
        <w:t>执行。2021年预算当期结余为87,111万元，累计结余为767,225万元（其中统筹累计结余370228万元，个人账户累计结余396996，统筹累计结余可支付月数为20个月，基金支撑能力较强。</w:t>
      </w:r>
    </w:p>
    <w:p w:rsidR="005B2AC5" w:rsidRPr="006B3BAE" w:rsidRDefault="00736D5E" w:rsidP="006B3BAE">
      <w:pPr>
        <w:spacing w:line="360" w:lineRule="auto"/>
        <w:ind w:firstLineChars="200" w:firstLine="640"/>
        <w:jc w:val="center"/>
        <w:rPr>
          <w:rFonts w:ascii="黑体" w:eastAsia="黑体" w:hAnsi="黑体" w:cstheme="minorEastAsia"/>
          <w:bCs/>
          <w:sz w:val="32"/>
          <w:szCs w:val="28"/>
          <w:lang w:eastAsia="zh-CN"/>
        </w:rPr>
      </w:pPr>
      <w:r w:rsidRPr="006B3BAE">
        <w:rPr>
          <w:rFonts w:ascii="黑体" w:eastAsia="黑体" w:hAnsi="黑体" w:cstheme="minorEastAsia" w:hint="eastAsia"/>
          <w:bCs/>
          <w:sz w:val="32"/>
          <w:szCs w:val="28"/>
          <w:lang w:eastAsia="zh-CN"/>
        </w:rPr>
        <w:t>第三部分</w:t>
      </w:r>
    </w:p>
    <w:p w:rsidR="005B2AC5" w:rsidRPr="006B3BAE" w:rsidRDefault="00736D5E" w:rsidP="006B3BAE">
      <w:pPr>
        <w:spacing w:line="360" w:lineRule="auto"/>
        <w:ind w:firstLineChars="200" w:firstLine="640"/>
        <w:jc w:val="center"/>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意 见 建 议</w:t>
      </w:r>
    </w:p>
    <w:p w:rsidR="005B2AC5" w:rsidRPr="006B3BAE" w:rsidRDefault="00736D5E" w:rsidP="006B3BAE">
      <w:pPr>
        <w:numPr>
          <w:ilvl w:val="0"/>
          <w:numId w:val="2"/>
        </w:num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随着全民参保计划的全面实施、医保政策的不断完善和待遇水平的持续提升，医疗保险基金规模迅速增加，对基金财务人员的业务水平要求也随之提高。建议加强培训以提高基金财务人员的业务水平。</w:t>
      </w:r>
    </w:p>
    <w:p w:rsidR="005B2AC5" w:rsidRPr="006B3BAE" w:rsidRDefault="00736D5E" w:rsidP="006B3BAE">
      <w:pPr>
        <w:numPr>
          <w:ilvl w:val="0"/>
          <w:numId w:val="2"/>
        </w:numPr>
        <w:spacing w:line="360" w:lineRule="auto"/>
        <w:ind w:firstLineChars="200" w:firstLine="640"/>
        <w:jc w:val="both"/>
        <w:rPr>
          <w:rFonts w:ascii="仿宋_GB2312" w:eastAsia="仿宋_GB2312" w:hAnsiTheme="minorEastAsia" w:cstheme="minorEastAsia"/>
          <w:sz w:val="32"/>
          <w:szCs w:val="28"/>
          <w:lang w:eastAsia="zh-CN"/>
        </w:rPr>
      </w:pPr>
      <w:r w:rsidRPr="006B3BAE">
        <w:rPr>
          <w:rFonts w:ascii="仿宋_GB2312" w:eastAsia="仿宋_GB2312" w:hAnsiTheme="minorEastAsia" w:cstheme="minorEastAsia" w:hint="eastAsia"/>
          <w:sz w:val="32"/>
          <w:szCs w:val="28"/>
          <w:lang w:eastAsia="zh-CN"/>
        </w:rPr>
        <w:t>建议进一步加强对医疗机构的监督管理，规范各定点医疗机构服务行为，严格管控定点医院的住院费用、自费药品比例，提高医保基金使用效率，确保参保群众享受更高质量的医疗服务。</w:t>
      </w:r>
    </w:p>
    <w:sectPr w:rsidR="005B2AC5" w:rsidRPr="006B3BAE" w:rsidSect="00604117">
      <w:footerReference w:type="default" r:id="rId12"/>
      <w:pgSz w:w="11906" w:h="16838"/>
      <w:pgMar w:top="2098" w:right="1531" w:bottom="1985" w:left="1531" w:header="851" w:footer="992" w:gutter="0"/>
      <w:pgNumType w:fmt="numberInDash"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EA3" w:rsidRDefault="00077EA3" w:rsidP="005B2AC5">
      <w:r>
        <w:separator/>
      </w:r>
    </w:p>
  </w:endnote>
  <w:endnote w:type="continuationSeparator" w:id="1">
    <w:p w:rsidR="00077EA3" w:rsidRDefault="00077EA3" w:rsidP="005B2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AC5" w:rsidRDefault="005B2AC5">
    <w:pPr>
      <w:pStyle w:val="a4"/>
      <w:ind w:right="360" w:firstLine="360"/>
      <w:jc w:val="center"/>
      <w:rPr>
        <w:rFonts w:eastAsia="仿宋"/>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AC5" w:rsidRDefault="003C0F3C">
    <w:pPr>
      <w:pStyle w:val="a4"/>
      <w:ind w:right="360" w:firstLine="360"/>
      <w:jc w:val="center"/>
      <w:rPr>
        <w:rFonts w:eastAsia="仿宋"/>
      </w:rPr>
    </w:pPr>
    <w:r w:rsidRPr="003C0F3C">
      <w:rPr>
        <w:lang w:eastAsia="zh-CN"/>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5B2AC5" w:rsidRDefault="003C0F3C">
                <w:pPr>
                  <w:pStyle w:val="a4"/>
                  <w:rPr>
                    <w:lang w:eastAsia="zh-CN"/>
                  </w:rPr>
                </w:pPr>
                <w:r>
                  <w:rPr>
                    <w:rFonts w:hint="eastAsia"/>
                    <w:lang w:eastAsia="zh-CN"/>
                  </w:rPr>
                  <w:fldChar w:fldCharType="begin"/>
                </w:r>
                <w:r w:rsidR="00736D5E">
                  <w:rPr>
                    <w:rFonts w:hint="eastAsia"/>
                    <w:lang w:eastAsia="zh-CN"/>
                  </w:rPr>
                  <w:instrText xml:space="preserve"> PAGE  \* MERGEFORMAT </w:instrText>
                </w:r>
                <w:r>
                  <w:rPr>
                    <w:rFonts w:hint="eastAsia"/>
                    <w:lang w:eastAsia="zh-CN"/>
                  </w:rPr>
                  <w:fldChar w:fldCharType="separate"/>
                </w:r>
                <w:r w:rsidR="006A2276">
                  <w:rPr>
                    <w:noProof/>
                    <w:lang w:eastAsia="zh-CN"/>
                  </w:rPr>
                  <w:t>- 2 -</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EA3" w:rsidRDefault="00077EA3" w:rsidP="005B2AC5">
      <w:r>
        <w:separator/>
      </w:r>
    </w:p>
  </w:footnote>
  <w:footnote w:type="continuationSeparator" w:id="1">
    <w:p w:rsidR="00077EA3" w:rsidRDefault="00077EA3" w:rsidP="005B2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76" w:rsidRPr="006A2276" w:rsidRDefault="006A2276" w:rsidP="006A2276">
    <w:r w:rsidRPr="006A2276">
      <w:tab/>
    </w:r>
    <w:r w:rsidRPr="006A2276">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AC5" w:rsidRDefault="005B2AC5">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9D1725"/>
    <w:multiLevelType w:val="singleLevel"/>
    <w:tmpl w:val="A49D1725"/>
    <w:lvl w:ilvl="0">
      <w:start w:val="1"/>
      <w:numFmt w:val="decimal"/>
      <w:suff w:val="nothing"/>
      <w:lvlText w:val="%1、"/>
      <w:lvlJc w:val="left"/>
    </w:lvl>
  </w:abstractNum>
  <w:abstractNum w:abstractNumId="1">
    <w:nsid w:val="4F98A50F"/>
    <w:multiLevelType w:val="singleLevel"/>
    <w:tmpl w:val="4F98A50F"/>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05E68DD"/>
    <w:rsid w:val="00012DAE"/>
    <w:rsid w:val="0003066C"/>
    <w:rsid w:val="0003407E"/>
    <w:rsid w:val="000413D2"/>
    <w:rsid w:val="0006120C"/>
    <w:rsid w:val="00077EA3"/>
    <w:rsid w:val="00090B3C"/>
    <w:rsid w:val="00092850"/>
    <w:rsid w:val="000C08C4"/>
    <w:rsid w:val="000D10E8"/>
    <w:rsid w:val="000D6304"/>
    <w:rsid w:val="000F5E5F"/>
    <w:rsid w:val="00120AF5"/>
    <w:rsid w:val="00146C25"/>
    <w:rsid w:val="00173665"/>
    <w:rsid w:val="001847AB"/>
    <w:rsid w:val="001A15B4"/>
    <w:rsid w:val="001B4965"/>
    <w:rsid w:val="001B70DC"/>
    <w:rsid w:val="001C40AB"/>
    <w:rsid w:val="001D17D3"/>
    <w:rsid w:val="001E4953"/>
    <w:rsid w:val="001E4ACC"/>
    <w:rsid w:val="001F7CA7"/>
    <w:rsid w:val="00205AAC"/>
    <w:rsid w:val="0021420A"/>
    <w:rsid w:val="002162FE"/>
    <w:rsid w:val="00235075"/>
    <w:rsid w:val="002359DF"/>
    <w:rsid w:val="0025250A"/>
    <w:rsid w:val="002849B5"/>
    <w:rsid w:val="002A1C9B"/>
    <w:rsid w:val="002B7F56"/>
    <w:rsid w:val="002D4138"/>
    <w:rsid w:val="002F4575"/>
    <w:rsid w:val="00305EAF"/>
    <w:rsid w:val="00313666"/>
    <w:rsid w:val="00355A2B"/>
    <w:rsid w:val="00370BF9"/>
    <w:rsid w:val="00373144"/>
    <w:rsid w:val="003755D1"/>
    <w:rsid w:val="0038207D"/>
    <w:rsid w:val="00383AC7"/>
    <w:rsid w:val="00385723"/>
    <w:rsid w:val="00385BD9"/>
    <w:rsid w:val="00387F24"/>
    <w:rsid w:val="00396FBA"/>
    <w:rsid w:val="003A6F81"/>
    <w:rsid w:val="003B5585"/>
    <w:rsid w:val="003C0F3C"/>
    <w:rsid w:val="003C3079"/>
    <w:rsid w:val="003C3F46"/>
    <w:rsid w:val="003D0762"/>
    <w:rsid w:val="003D093D"/>
    <w:rsid w:val="003D4A5A"/>
    <w:rsid w:val="003D7C64"/>
    <w:rsid w:val="003F4BF7"/>
    <w:rsid w:val="00400567"/>
    <w:rsid w:val="00427F4A"/>
    <w:rsid w:val="00440AE9"/>
    <w:rsid w:val="00466E97"/>
    <w:rsid w:val="00471C52"/>
    <w:rsid w:val="00482181"/>
    <w:rsid w:val="004A4EDF"/>
    <w:rsid w:val="004B7358"/>
    <w:rsid w:val="004C7C52"/>
    <w:rsid w:val="004D2A24"/>
    <w:rsid w:val="004E4F77"/>
    <w:rsid w:val="004F7371"/>
    <w:rsid w:val="00503705"/>
    <w:rsid w:val="00513A12"/>
    <w:rsid w:val="005253DB"/>
    <w:rsid w:val="005450DD"/>
    <w:rsid w:val="00545432"/>
    <w:rsid w:val="00564503"/>
    <w:rsid w:val="005763B3"/>
    <w:rsid w:val="005812B4"/>
    <w:rsid w:val="005A63BB"/>
    <w:rsid w:val="005A6497"/>
    <w:rsid w:val="005B1681"/>
    <w:rsid w:val="005B2AC5"/>
    <w:rsid w:val="005C48EF"/>
    <w:rsid w:val="005C5A50"/>
    <w:rsid w:val="005C5FB4"/>
    <w:rsid w:val="005D655C"/>
    <w:rsid w:val="00604117"/>
    <w:rsid w:val="00606B25"/>
    <w:rsid w:val="00612738"/>
    <w:rsid w:val="00630DC3"/>
    <w:rsid w:val="00631A30"/>
    <w:rsid w:val="00633F56"/>
    <w:rsid w:val="00651BC9"/>
    <w:rsid w:val="00677376"/>
    <w:rsid w:val="00693541"/>
    <w:rsid w:val="0069524B"/>
    <w:rsid w:val="00696578"/>
    <w:rsid w:val="006966AA"/>
    <w:rsid w:val="006A2276"/>
    <w:rsid w:val="006A311A"/>
    <w:rsid w:val="006A5376"/>
    <w:rsid w:val="006B3BAE"/>
    <w:rsid w:val="006D1B93"/>
    <w:rsid w:val="006F0AA6"/>
    <w:rsid w:val="006F6612"/>
    <w:rsid w:val="006F7B6E"/>
    <w:rsid w:val="00714ADC"/>
    <w:rsid w:val="00724AE9"/>
    <w:rsid w:val="007339E4"/>
    <w:rsid w:val="00734145"/>
    <w:rsid w:val="007351FD"/>
    <w:rsid w:val="00736D5E"/>
    <w:rsid w:val="0074020E"/>
    <w:rsid w:val="00755ABA"/>
    <w:rsid w:val="0075614C"/>
    <w:rsid w:val="007651E0"/>
    <w:rsid w:val="00793D2F"/>
    <w:rsid w:val="007A67F6"/>
    <w:rsid w:val="007A6930"/>
    <w:rsid w:val="007C3D5C"/>
    <w:rsid w:val="007C6002"/>
    <w:rsid w:val="007F1888"/>
    <w:rsid w:val="007F7752"/>
    <w:rsid w:val="00801F38"/>
    <w:rsid w:val="00842BC5"/>
    <w:rsid w:val="00877E03"/>
    <w:rsid w:val="008810EC"/>
    <w:rsid w:val="008B6A64"/>
    <w:rsid w:val="008C5748"/>
    <w:rsid w:val="008C5E0C"/>
    <w:rsid w:val="008C7E5D"/>
    <w:rsid w:val="008E371F"/>
    <w:rsid w:val="008F0032"/>
    <w:rsid w:val="00907576"/>
    <w:rsid w:val="00942E57"/>
    <w:rsid w:val="0096232A"/>
    <w:rsid w:val="00963135"/>
    <w:rsid w:val="009879E4"/>
    <w:rsid w:val="00995AA9"/>
    <w:rsid w:val="009A79FA"/>
    <w:rsid w:val="009C1C5D"/>
    <w:rsid w:val="009C2E01"/>
    <w:rsid w:val="009D4FBF"/>
    <w:rsid w:val="009D5DBE"/>
    <w:rsid w:val="009E1962"/>
    <w:rsid w:val="009E61B0"/>
    <w:rsid w:val="009F00A7"/>
    <w:rsid w:val="009F1CD5"/>
    <w:rsid w:val="009F2244"/>
    <w:rsid w:val="009F3389"/>
    <w:rsid w:val="009F6EC0"/>
    <w:rsid w:val="00A06163"/>
    <w:rsid w:val="00A236A8"/>
    <w:rsid w:val="00A27F99"/>
    <w:rsid w:val="00A319E4"/>
    <w:rsid w:val="00A34D88"/>
    <w:rsid w:val="00A44E62"/>
    <w:rsid w:val="00A529EF"/>
    <w:rsid w:val="00A63EA4"/>
    <w:rsid w:val="00A64CF0"/>
    <w:rsid w:val="00A83590"/>
    <w:rsid w:val="00A9191E"/>
    <w:rsid w:val="00A92A87"/>
    <w:rsid w:val="00AB3E78"/>
    <w:rsid w:val="00AE7674"/>
    <w:rsid w:val="00AF2FBE"/>
    <w:rsid w:val="00B008BE"/>
    <w:rsid w:val="00B0548B"/>
    <w:rsid w:val="00B0700A"/>
    <w:rsid w:val="00B12E69"/>
    <w:rsid w:val="00B2443F"/>
    <w:rsid w:val="00B273CC"/>
    <w:rsid w:val="00B86106"/>
    <w:rsid w:val="00BA4459"/>
    <w:rsid w:val="00BA555F"/>
    <w:rsid w:val="00BA7AB4"/>
    <w:rsid w:val="00BB11D4"/>
    <w:rsid w:val="00BB1458"/>
    <w:rsid w:val="00BC50B1"/>
    <w:rsid w:val="00BE160B"/>
    <w:rsid w:val="00BE3E9F"/>
    <w:rsid w:val="00BF5A60"/>
    <w:rsid w:val="00BF79D8"/>
    <w:rsid w:val="00C1656E"/>
    <w:rsid w:val="00C364FD"/>
    <w:rsid w:val="00C43414"/>
    <w:rsid w:val="00C51DC3"/>
    <w:rsid w:val="00C51ED8"/>
    <w:rsid w:val="00C553D9"/>
    <w:rsid w:val="00C5579E"/>
    <w:rsid w:val="00C6424A"/>
    <w:rsid w:val="00C67CD1"/>
    <w:rsid w:val="00C82C99"/>
    <w:rsid w:val="00C930E2"/>
    <w:rsid w:val="00C93D91"/>
    <w:rsid w:val="00CB6116"/>
    <w:rsid w:val="00CB7882"/>
    <w:rsid w:val="00CC04F6"/>
    <w:rsid w:val="00CC303A"/>
    <w:rsid w:val="00CD16C2"/>
    <w:rsid w:val="00CD5B66"/>
    <w:rsid w:val="00CF0A9C"/>
    <w:rsid w:val="00D01DB9"/>
    <w:rsid w:val="00D059CB"/>
    <w:rsid w:val="00D10855"/>
    <w:rsid w:val="00D12424"/>
    <w:rsid w:val="00D20DB4"/>
    <w:rsid w:val="00D427B8"/>
    <w:rsid w:val="00D51F3C"/>
    <w:rsid w:val="00D62B92"/>
    <w:rsid w:val="00D84A5D"/>
    <w:rsid w:val="00DA06B7"/>
    <w:rsid w:val="00DE4329"/>
    <w:rsid w:val="00DE79E2"/>
    <w:rsid w:val="00DF3D85"/>
    <w:rsid w:val="00E00501"/>
    <w:rsid w:val="00E2626C"/>
    <w:rsid w:val="00E268F8"/>
    <w:rsid w:val="00E36B45"/>
    <w:rsid w:val="00E77205"/>
    <w:rsid w:val="00E83D15"/>
    <w:rsid w:val="00E96F88"/>
    <w:rsid w:val="00EA6D70"/>
    <w:rsid w:val="00EC2E18"/>
    <w:rsid w:val="00EE3AF0"/>
    <w:rsid w:val="00EE7762"/>
    <w:rsid w:val="00EF6DEE"/>
    <w:rsid w:val="00EF7FCA"/>
    <w:rsid w:val="00F10BB9"/>
    <w:rsid w:val="00F31239"/>
    <w:rsid w:val="00F62987"/>
    <w:rsid w:val="00F63991"/>
    <w:rsid w:val="00F64B4C"/>
    <w:rsid w:val="00F9071C"/>
    <w:rsid w:val="00FA0A6B"/>
    <w:rsid w:val="00FC388D"/>
    <w:rsid w:val="017955C0"/>
    <w:rsid w:val="01DD0FD7"/>
    <w:rsid w:val="01DF27AB"/>
    <w:rsid w:val="020142AE"/>
    <w:rsid w:val="02040D8C"/>
    <w:rsid w:val="020D2D9B"/>
    <w:rsid w:val="02520190"/>
    <w:rsid w:val="028500AC"/>
    <w:rsid w:val="028C38E7"/>
    <w:rsid w:val="02CE7EEC"/>
    <w:rsid w:val="02E6577F"/>
    <w:rsid w:val="02EF0252"/>
    <w:rsid w:val="036C0CD1"/>
    <w:rsid w:val="03C6756C"/>
    <w:rsid w:val="048D7486"/>
    <w:rsid w:val="05074DB8"/>
    <w:rsid w:val="059F359D"/>
    <w:rsid w:val="05ED4CA7"/>
    <w:rsid w:val="05FA606B"/>
    <w:rsid w:val="062424DE"/>
    <w:rsid w:val="06D74302"/>
    <w:rsid w:val="070823AB"/>
    <w:rsid w:val="070F25C1"/>
    <w:rsid w:val="074564B8"/>
    <w:rsid w:val="077F5BB3"/>
    <w:rsid w:val="07E970D6"/>
    <w:rsid w:val="085F131E"/>
    <w:rsid w:val="087F7558"/>
    <w:rsid w:val="08D379BA"/>
    <w:rsid w:val="08EA62BC"/>
    <w:rsid w:val="090015FC"/>
    <w:rsid w:val="090303E6"/>
    <w:rsid w:val="092F17A7"/>
    <w:rsid w:val="0953609B"/>
    <w:rsid w:val="09A750EA"/>
    <w:rsid w:val="0A476425"/>
    <w:rsid w:val="0A597B17"/>
    <w:rsid w:val="0A5D0EAB"/>
    <w:rsid w:val="0A5F4A2E"/>
    <w:rsid w:val="0A8003DE"/>
    <w:rsid w:val="0AB505DA"/>
    <w:rsid w:val="0B0D3CA1"/>
    <w:rsid w:val="0B112A2D"/>
    <w:rsid w:val="0B3E2BA1"/>
    <w:rsid w:val="0B7358F8"/>
    <w:rsid w:val="0BAE0AAC"/>
    <w:rsid w:val="0BC26890"/>
    <w:rsid w:val="0BD64629"/>
    <w:rsid w:val="0C097DC5"/>
    <w:rsid w:val="0C1246C4"/>
    <w:rsid w:val="0C485333"/>
    <w:rsid w:val="0C8E63A5"/>
    <w:rsid w:val="0C9D1F85"/>
    <w:rsid w:val="0CC564AC"/>
    <w:rsid w:val="0D2824F0"/>
    <w:rsid w:val="0D892145"/>
    <w:rsid w:val="0DA7735B"/>
    <w:rsid w:val="0E2C24DF"/>
    <w:rsid w:val="0E7F3915"/>
    <w:rsid w:val="0E845F72"/>
    <w:rsid w:val="0ECD4D70"/>
    <w:rsid w:val="0ED018D4"/>
    <w:rsid w:val="0F4508C2"/>
    <w:rsid w:val="0F454F86"/>
    <w:rsid w:val="0F601669"/>
    <w:rsid w:val="0F7F0925"/>
    <w:rsid w:val="0F8449D1"/>
    <w:rsid w:val="0F931FC9"/>
    <w:rsid w:val="105E68DD"/>
    <w:rsid w:val="10725497"/>
    <w:rsid w:val="109C2700"/>
    <w:rsid w:val="10EC26B1"/>
    <w:rsid w:val="10FD6AE0"/>
    <w:rsid w:val="111B52AD"/>
    <w:rsid w:val="11243F3D"/>
    <w:rsid w:val="1128161A"/>
    <w:rsid w:val="11AE70C6"/>
    <w:rsid w:val="11AF6985"/>
    <w:rsid w:val="11C4235A"/>
    <w:rsid w:val="12390C46"/>
    <w:rsid w:val="12F151AC"/>
    <w:rsid w:val="12FF52E1"/>
    <w:rsid w:val="13856DC9"/>
    <w:rsid w:val="13BA6FC6"/>
    <w:rsid w:val="13EF55A4"/>
    <w:rsid w:val="13F164E9"/>
    <w:rsid w:val="14013873"/>
    <w:rsid w:val="142147C3"/>
    <w:rsid w:val="142302A0"/>
    <w:rsid w:val="14DB15B4"/>
    <w:rsid w:val="16333BBD"/>
    <w:rsid w:val="164003BB"/>
    <w:rsid w:val="16554ECD"/>
    <w:rsid w:val="165E2A8F"/>
    <w:rsid w:val="168E6228"/>
    <w:rsid w:val="16AE7F29"/>
    <w:rsid w:val="17186183"/>
    <w:rsid w:val="1785556C"/>
    <w:rsid w:val="17993B09"/>
    <w:rsid w:val="17D47771"/>
    <w:rsid w:val="182059FA"/>
    <w:rsid w:val="183A1242"/>
    <w:rsid w:val="187D4BE6"/>
    <w:rsid w:val="18A7187B"/>
    <w:rsid w:val="18B34039"/>
    <w:rsid w:val="18F87DDA"/>
    <w:rsid w:val="19015B0B"/>
    <w:rsid w:val="192856B3"/>
    <w:rsid w:val="192C4363"/>
    <w:rsid w:val="19D03A71"/>
    <w:rsid w:val="1A064A1C"/>
    <w:rsid w:val="1A19383D"/>
    <w:rsid w:val="1A8F7F89"/>
    <w:rsid w:val="1AAD1876"/>
    <w:rsid w:val="1AD47431"/>
    <w:rsid w:val="1B491E63"/>
    <w:rsid w:val="1B5B548F"/>
    <w:rsid w:val="1B6E4413"/>
    <w:rsid w:val="1B9A5066"/>
    <w:rsid w:val="1BA3060F"/>
    <w:rsid w:val="1BC77691"/>
    <w:rsid w:val="1BF5774B"/>
    <w:rsid w:val="1C1D72D8"/>
    <w:rsid w:val="1D046B7A"/>
    <w:rsid w:val="1D891504"/>
    <w:rsid w:val="1DDF148C"/>
    <w:rsid w:val="1E0052BB"/>
    <w:rsid w:val="1E555153"/>
    <w:rsid w:val="1E67377F"/>
    <w:rsid w:val="1F0E6248"/>
    <w:rsid w:val="1F715CB4"/>
    <w:rsid w:val="1FB46378"/>
    <w:rsid w:val="1FD86080"/>
    <w:rsid w:val="1FE42DC2"/>
    <w:rsid w:val="20074F4D"/>
    <w:rsid w:val="200B3906"/>
    <w:rsid w:val="200D242E"/>
    <w:rsid w:val="20CB3E19"/>
    <w:rsid w:val="20DB2483"/>
    <w:rsid w:val="211E50C7"/>
    <w:rsid w:val="21D337CE"/>
    <w:rsid w:val="21DC4D18"/>
    <w:rsid w:val="2202791B"/>
    <w:rsid w:val="22065A74"/>
    <w:rsid w:val="221413B4"/>
    <w:rsid w:val="225C0FE3"/>
    <w:rsid w:val="225D1069"/>
    <w:rsid w:val="231D623C"/>
    <w:rsid w:val="23563C45"/>
    <w:rsid w:val="241B3A45"/>
    <w:rsid w:val="244917DA"/>
    <w:rsid w:val="244C3BAA"/>
    <w:rsid w:val="24CF72D9"/>
    <w:rsid w:val="24E5237E"/>
    <w:rsid w:val="256656A4"/>
    <w:rsid w:val="2586796E"/>
    <w:rsid w:val="25B27438"/>
    <w:rsid w:val="25FC0BD8"/>
    <w:rsid w:val="260D30A6"/>
    <w:rsid w:val="26380149"/>
    <w:rsid w:val="26BE7C64"/>
    <w:rsid w:val="26C77327"/>
    <w:rsid w:val="27391889"/>
    <w:rsid w:val="274E0510"/>
    <w:rsid w:val="27802311"/>
    <w:rsid w:val="27B35E8D"/>
    <w:rsid w:val="27CE21C2"/>
    <w:rsid w:val="27E86276"/>
    <w:rsid w:val="27FA1133"/>
    <w:rsid w:val="2807484E"/>
    <w:rsid w:val="28152DB8"/>
    <w:rsid w:val="2865673F"/>
    <w:rsid w:val="287D6525"/>
    <w:rsid w:val="28AC05C1"/>
    <w:rsid w:val="28E40578"/>
    <w:rsid w:val="28E95470"/>
    <w:rsid w:val="293B49EC"/>
    <w:rsid w:val="296815C0"/>
    <w:rsid w:val="29740296"/>
    <w:rsid w:val="29BC6DC4"/>
    <w:rsid w:val="29C91F36"/>
    <w:rsid w:val="29E841D6"/>
    <w:rsid w:val="2A0440E7"/>
    <w:rsid w:val="2A62016C"/>
    <w:rsid w:val="2AD71408"/>
    <w:rsid w:val="2B292800"/>
    <w:rsid w:val="2B495FC4"/>
    <w:rsid w:val="2B5A0C84"/>
    <w:rsid w:val="2B6D6553"/>
    <w:rsid w:val="2BDA5A7C"/>
    <w:rsid w:val="2BEA4E62"/>
    <w:rsid w:val="2C396C51"/>
    <w:rsid w:val="2C722BF9"/>
    <w:rsid w:val="2CCF13EA"/>
    <w:rsid w:val="2D230393"/>
    <w:rsid w:val="2D560958"/>
    <w:rsid w:val="2DD677B2"/>
    <w:rsid w:val="2DEC08CA"/>
    <w:rsid w:val="2E0B0436"/>
    <w:rsid w:val="2E2A35C4"/>
    <w:rsid w:val="2E2F659D"/>
    <w:rsid w:val="2E462BC4"/>
    <w:rsid w:val="2E8369E3"/>
    <w:rsid w:val="2EC6198A"/>
    <w:rsid w:val="2EF03EAE"/>
    <w:rsid w:val="2EF7511F"/>
    <w:rsid w:val="2F1A4FE7"/>
    <w:rsid w:val="2F866A43"/>
    <w:rsid w:val="30292BFC"/>
    <w:rsid w:val="3063180B"/>
    <w:rsid w:val="30873F30"/>
    <w:rsid w:val="30CD65AB"/>
    <w:rsid w:val="30F5490E"/>
    <w:rsid w:val="310645EF"/>
    <w:rsid w:val="3131507D"/>
    <w:rsid w:val="31640DB0"/>
    <w:rsid w:val="31A30F9D"/>
    <w:rsid w:val="31BA398A"/>
    <w:rsid w:val="31C15016"/>
    <w:rsid w:val="31E53900"/>
    <w:rsid w:val="31F95436"/>
    <w:rsid w:val="32264A84"/>
    <w:rsid w:val="322C7E89"/>
    <w:rsid w:val="324477E3"/>
    <w:rsid w:val="32877995"/>
    <w:rsid w:val="328D2FF5"/>
    <w:rsid w:val="32D62DAC"/>
    <w:rsid w:val="32E7424A"/>
    <w:rsid w:val="32EF2E21"/>
    <w:rsid w:val="32EF4852"/>
    <w:rsid w:val="32FE7F58"/>
    <w:rsid w:val="331A7CEF"/>
    <w:rsid w:val="332944D9"/>
    <w:rsid w:val="338C2D3F"/>
    <w:rsid w:val="339518B2"/>
    <w:rsid w:val="33C00503"/>
    <w:rsid w:val="33E25F91"/>
    <w:rsid w:val="33E85772"/>
    <w:rsid w:val="340C7E19"/>
    <w:rsid w:val="344E12A8"/>
    <w:rsid w:val="346D46B8"/>
    <w:rsid w:val="34D111BA"/>
    <w:rsid w:val="34D53206"/>
    <w:rsid w:val="34E755C2"/>
    <w:rsid w:val="35170A0E"/>
    <w:rsid w:val="351B4F38"/>
    <w:rsid w:val="352373EB"/>
    <w:rsid w:val="355F0FF7"/>
    <w:rsid w:val="35AE51F0"/>
    <w:rsid w:val="36151DB6"/>
    <w:rsid w:val="366747D9"/>
    <w:rsid w:val="36AE2D67"/>
    <w:rsid w:val="36C27277"/>
    <w:rsid w:val="37632C82"/>
    <w:rsid w:val="3769132E"/>
    <w:rsid w:val="378243D5"/>
    <w:rsid w:val="379D03BC"/>
    <w:rsid w:val="37CF6FAA"/>
    <w:rsid w:val="37D77BB1"/>
    <w:rsid w:val="37E10221"/>
    <w:rsid w:val="37FC2691"/>
    <w:rsid w:val="38595E7F"/>
    <w:rsid w:val="387464A8"/>
    <w:rsid w:val="38CA408E"/>
    <w:rsid w:val="390D3210"/>
    <w:rsid w:val="39107C86"/>
    <w:rsid w:val="39425D57"/>
    <w:rsid w:val="39756E1D"/>
    <w:rsid w:val="39B67ED5"/>
    <w:rsid w:val="39D4756D"/>
    <w:rsid w:val="39D62935"/>
    <w:rsid w:val="39DE664C"/>
    <w:rsid w:val="3A172816"/>
    <w:rsid w:val="3A206933"/>
    <w:rsid w:val="3A21033E"/>
    <w:rsid w:val="3A752407"/>
    <w:rsid w:val="3A8174A8"/>
    <w:rsid w:val="3A991529"/>
    <w:rsid w:val="3AA50C77"/>
    <w:rsid w:val="3B040F75"/>
    <w:rsid w:val="3B231B4E"/>
    <w:rsid w:val="3B4A63A8"/>
    <w:rsid w:val="3B5E360D"/>
    <w:rsid w:val="3B610F2F"/>
    <w:rsid w:val="3B7B1945"/>
    <w:rsid w:val="3BB0531C"/>
    <w:rsid w:val="3BF225E0"/>
    <w:rsid w:val="3C6706B0"/>
    <w:rsid w:val="3CD2472E"/>
    <w:rsid w:val="3D1E7C52"/>
    <w:rsid w:val="3D3D6D24"/>
    <w:rsid w:val="3F534E14"/>
    <w:rsid w:val="3F7C3EAC"/>
    <w:rsid w:val="3FC07020"/>
    <w:rsid w:val="406E2667"/>
    <w:rsid w:val="409C7A12"/>
    <w:rsid w:val="40B7384D"/>
    <w:rsid w:val="40E731E2"/>
    <w:rsid w:val="418E4565"/>
    <w:rsid w:val="41E61985"/>
    <w:rsid w:val="420166D3"/>
    <w:rsid w:val="425B2419"/>
    <w:rsid w:val="428E5986"/>
    <w:rsid w:val="42F01C0C"/>
    <w:rsid w:val="43201F00"/>
    <w:rsid w:val="433E5AE9"/>
    <w:rsid w:val="4422777F"/>
    <w:rsid w:val="44702E29"/>
    <w:rsid w:val="44D9047D"/>
    <w:rsid w:val="44FA0548"/>
    <w:rsid w:val="45065EDB"/>
    <w:rsid w:val="45413B42"/>
    <w:rsid w:val="45780F96"/>
    <w:rsid w:val="458F0081"/>
    <w:rsid w:val="4596264B"/>
    <w:rsid w:val="459A250D"/>
    <w:rsid w:val="45B40E36"/>
    <w:rsid w:val="45B46FFD"/>
    <w:rsid w:val="45B96A9B"/>
    <w:rsid w:val="45F829AA"/>
    <w:rsid w:val="45F844F9"/>
    <w:rsid w:val="460B5C47"/>
    <w:rsid w:val="46F13D21"/>
    <w:rsid w:val="472244EE"/>
    <w:rsid w:val="47482BF4"/>
    <w:rsid w:val="475F3836"/>
    <w:rsid w:val="477B6B31"/>
    <w:rsid w:val="47C908C8"/>
    <w:rsid w:val="47CA2816"/>
    <w:rsid w:val="47CF3DBB"/>
    <w:rsid w:val="47D72C36"/>
    <w:rsid w:val="47DC6C24"/>
    <w:rsid w:val="47F944C2"/>
    <w:rsid w:val="4807163C"/>
    <w:rsid w:val="48316937"/>
    <w:rsid w:val="483B25EA"/>
    <w:rsid w:val="487832A7"/>
    <w:rsid w:val="48902127"/>
    <w:rsid w:val="48E729C9"/>
    <w:rsid w:val="48F15B4F"/>
    <w:rsid w:val="493517A7"/>
    <w:rsid w:val="4940135D"/>
    <w:rsid w:val="4950500A"/>
    <w:rsid w:val="4950787C"/>
    <w:rsid w:val="49721A93"/>
    <w:rsid w:val="4A1D47C6"/>
    <w:rsid w:val="4AFD4E78"/>
    <w:rsid w:val="4B101C82"/>
    <w:rsid w:val="4B1C0C1E"/>
    <w:rsid w:val="4B61081A"/>
    <w:rsid w:val="4B6540BD"/>
    <w:rsid w:val="4B9D5331"/>
    <w:rsid w:val="4BA15F86"/>
    <w:rsid w:val="4BD01E2F"/>
    <w:rsid w:val="4BE151A2"/>
    <w:rsid w:val="4C4E17EC"/>
    <w:rsid w:val="4C9F4BF4"/>
    <w:rsid w:val="4D1449DA"/>
    <w:rsid w:val="4D151A09"/>
    <w:rsid w:val="4D525E7D"/>
    <w:rsid w:val="4D782CCA"/>
    <w:rsid w:val="4DD821F4"/>
    <w:rsid w:val="4E23445B"/>
    <w:rsid w:val="4E2355D8"/>
    <w:rsid w:val="4E3B36A7"/>
    <w:rsid w:val="4E3F2202"/>
    <w:rsid w:val="4E5546F4"/>
    <w:rsid w:val="4EA900DB"/>
    <w:rsid w:val="4F8742CD"/>
    <w:rsid w:val="4F9A4A0C"/>
    <w:rsid w:val="4FCB1605"/>
    <w:rsid w:val="4FD118A7"/>
    <w:rsid w:val="4FE41863"/>
    <w:rsid w:val="4FEF762F"/>
    <w:rsid w:val="505D5AB7"/>
    <w:rsid w:val="50935F9A"/>
    <w:rsid w:val="50AA6EEF"/>
    <w:rsid w:val="50AF0D30"/>
    <w:rsid w:val="517C35C1"/>
    <w:rsid w:val="51A606C2"/>
    <w:rsid w:val="51A73B2F"/>
    <w:rsid w:val="52186B0F"/>
    <w:rsid w:val="525718C2"/>
    <w:rsid w:val="52581AB9"/>
    <w:rsid w:val="52B61CFA"/>
    <w:rsid w:val="53170321"/>
    <w:rsid w:val="532D379D"/>
    <w:rsid w:val="53445E04"/>
    <w:rsid w:val="536E0E33"/>
    <w:rsid w:val="5404693C"/>
    <w:rsid w:val="54233771"/>
    <w:rsid w:val="54286BCC"/>
    <w:rsid w:val="5439386C"/>
    <w:rsid w:val="547847A8"/>
    <w:rsid w:val="547E4478"/>
    <w:rsid w:val="54E4550B"/>
    <w:rsid w:val="55087E02"/>
    <w:rsid w:val="552427EA"/>
    <w:rsid w:val="552F406F"/>
    <w:rsid w:val="55B51F92"/>
    <w:rsid w:val="55DE2317"/>
    <w:rsid w:val="562A6A29"/>
    <w:rsid w:val="56336012"/>
    <w:rsid w:val="563725B5"/>
    <w:rsid w:val="564A4EF7"/>
    <w:rsid w:val="566B5A10"/>
    <w:rsid w:val="56C57343"/>
    <w:rsid w:val="572F15F7"/>
    <w:rsid w:val="573419E9"/>
    <w:rsid w:val="57353BCA"/>
    <w:rsid w:val="57802D84"/>
    <w:rsid w:val="57AD75AA"/>
    <w:rsid w:val="58753AB1"/>
    <w:rsid w:val="58DE2FE2"/>
    <w:rsid w:val="59097EFD"/>
    <w:rsid w:val="590D2714"/>
    <w:rsid w:val="59126391"/>
    <w:rsid w:val="59437A1D"/>
    <w:rsid w:val="595459AE"/>
    <w:rsid w:val="595B5F54"/>
    <w:rsid w:val="59641199"/>
    <w:rsid w:val="59743E9C"/>
    <w:rsid w:val="599D67D5"/>
    <w:rsid w:val="5A0760B3"/>
    <w:rsid w:val="5A283E0E"/>
    <w:rsid w:val="5A5E2778"/>
    <w:rsid w:val="5A840C19"/>
    <w:rsid w:val="5AD269C2"/>
    <w:rsid w:val="5ADE4A58"/>
    <w:rsid w:val="5B0075AD"/>
    <w:rsid w:val="5B214F5A"/>
    <w:rsid w:val="5B280929"/>
    <w:rsid w:val="5B2D4B7F"/>
    <w:rsid w:val="5B336834"/>
    <w:rsid w:val="5B5179D1"/>
    <w:rsid w:val="5B57504C"/>
    <w:rsid w:val="5B5B3070"/>
    <w:rsid w:val="5B6849CD"/>
    <w:rsid w:val="5C384692"/>
    <w:rsid w:val="5C430681"/>
    <w:rsid w:val="5C974184"/>
    <w:rsid w:val="5D026B8F"/>
    <w:rsid w:val="5D092A8D"/>
    <w:rsid w:val="5D44737B"/>
    <w:rsid w:val="5E0A620B"/>
    <w:rsid w:val="5E3F7AEA"/>
    <w:rsid w:val="5E4D1744"/>
    <w:rsid w:val="5E7561B9"/>
    <w:rsid w:val="5E866C00"/>
    <w:rsid w:val="5ED51999"/>
    <w:rsid w:val="5EDC195E"/>
    <w:rsid w:val="5F8B1044"/>
    <w:rsid w:val="60062C87"/>
    <w:rsid w:val="601F78AC"/>
    <w:rsid w:val="604607E3"/>
    <w:rsid w:val="61B622B3"/>
    <w:rsid w:val="61E46857"/>
    <w:rsid w:val="61F23B82"/>
    <w:rsid w:val="61FF1EE8"/>
    <w:rsid w:val="623174E7"/>
    <w:rsid w:val="62375DEF"/>
    <w:rsid w:val="625A18AF"/>
    <w:rsid w:val="62806532"/>
    <w:rsid w:val="62C248CD"/>
    <w:rsid w:val="630A65ED"/>
    <w:rsid w:val="633362A2"/>
    <w:rsid w:val="63C63FC2"/>
    <w:rsid w:val="63CC1111"/>
    <w:rsid w:val="6526631A"/>
    <w:rsid w:val="65743952"/>
    <w:rsid w:val="65C07B9B"/>
    <w:rsid w:val="65FD1E04"/>
    <w:rsid w:val="664B6A23"/>
    <w:rsid w:val="667A45A1"/>
    <w:rsid w:val="669D4AEA"/>
    <w:rsid w:val="66BE3A02"/>
    <w:rsid w:val="66D67984"/>
    <w:rsid w:val="66E05C41"/>
    <w:rsid w:val="672463B1"/>
    <w:rsid w:val="67340DD1"/>
    <w:rsid w:val="67364D6D"/>
    <w:rsid w:val="6752737F"/>
    <w:rsid w:val="67541807"/>
    <w:rsid w:val="677E48F0"/>
    <w:rsid w:val="67B134E8"/>
    <w:rsid w:val="67F07FC8"/>
    <w:rsid w:val="688F51A1"/>
    <w:rsid w:val="689D382E"/>
    <w:rsid w:val="68DB2C86"/>
    <w:rsid w:val="69446738"/>
    <w:rsid w:val="694D3496"/>
    <w:rsid w:val="69AF6C01"/>
    <w:rsid w:val="69C50194"/>
    <w:rsid w:val="69CB7701"/>
    <w:rsid w:val="69EA1A70"/>
    <w:rsid w:val="69FB1512"/>
    <w:rsid w:val="6A0066E1"/>
    <w:rsid w:val="6A0F16B9"/>
    <w:rsid w:val="6A2C0030"/>
    <w:rsid w:val="6A3E68A5"/>
    <w:rsid w:val="6AB64C3E"/>
    <w:rsid w:val="6ADB30F8"/>
    <w:rsid w:val="6B5A1D7F"/>
    <w:rsid w:val="6BDD20C4"/>
    <w:rsid w:val="6C0C01F3"/>
    <w:rsid w:val="6C11791A"/>
    <w:rsid w:val="6CF21033"/>
    <w:rsid w:val="6D05258F"/>
    <w:rsid w:val="6D3231CB"/>
    <w:rsid w:val="6DE83F49"/>
    <w:rsid w:val="6F4E0DE0"/>
    <w:rsid w:val="6FE470CA"/>
    <w:rsid w:val="700775BD"/>
    <w:rsid w:val="700C5A97"/>
    <w:rsid w:val="700F20EC"/>
    <w:rsid w:val="706734E9"/>
    <w:rsid w:val="70981651"/>
    <w:rsid w:val="71464B78"/>
    <w:rsid w:val="718C3506"/>
    <w:rsid w:val="71967C06"/>
    <w:rsid w:val="71BB4D58"/>
    <w:rsid w:val="72331F1E"/>
    <w:rsid w:val="726E2204"/>
    <w:rsid w:val="729E0F31"/>
    <w:rsid w:val="72BD3584"/>
    <w:rsid w:val="72CA3729"/>
    <w:rsid w:val="733341F2"/>
    <w:rsid w:val="733C19D0"/>
    <w:rsid w:val="735C4020"/>
    <w:rsid w:val="73AA7DE1"/>
    <w:rsid w:val="73B97D6F"/>
    <w:rsid w:val="741B732E"/>
    <w:rsid w:val="74A14593"/>
    <w:rsid w:val="74F331EF"/>
    <w:rsid w:val="75692159"/>
    <w:rsid w:val="75741526"/>
    <w:rsid w:val="75B06F98"/>
    <w:rsid w:val="75B23154"/>
    <w:rsid w:val="75D61153"/>
    <w:rsid w:val="75F53CEA"/>
    <w:rsid w:val="76BA5153"/>
    <w:rsid w:val="775561D7"/>
    <w:rsid w:val="77AD3BAD"/>
    <w:rsid w:val="783032A6"/>
    <w:rsid w:val="784D1F19"/>
    <w:rsid w:val="787A4F1F"/>
    <w:rsid w:val="78B62AC6"/>
    <w:rsid w:val="78BD4EF1"/>
    <w:rsid w:val="78EA2D9A"/>
    <w:rsid w:val="78EC1F1D"/>
    <w:rsid w:val="79341CE1"/>
    <w:rsid w:val="79833275"/>
    <w:rsid w:val="7A1325C1"/>
    <w:rsid w:val="7A4561D5"/>
    <w:rsid w:val="7B035DF8"/>
    <w:rsid w:val="7B1B52A9"/>
    <w:rsid w:val="7BB4730E"/>
    <w:rsid w:val="7BC727E0"/>
    <w:rsid w:val="7BD10FB0"/>
    <w:rsid w:val="7C0D2159"/>
    <w:rsid w:val="7C3A454D"/>
    <w:rsid w:val="7C703878"/>
    <w:rsid w:val="7C740849"/>
    <w:rsid w:val="7CBC582B"/>
    <w:rsid w:val="7CDF4D0B"/>
    <w:rsid w:val="7D801E4D"/>
    <w:rsid w:val="7E2E5E32"/>
    <w:rsid w:val="7E6867B4"/>
    <w:rsid w:val="7E947111"/>
    <w:rsid w:val="7EBD515E"/>
    <w:rsid w:val="7F08121C"/>
    <w:rsid w:val="7F084EDC"/>
    <w:rsid w:val="7FE86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AC5"/>
    <w:rPr>
      <w:rFonts w:cs="Calibri"/>
      <w:sz w:val="24"/>
      <w:szCs w:val="24"/>
      <w:lang w:eastAsia="en-US"/>
    </w:rPr>
  </w:style>
  <w:style w:type="paragraph" w:styleId="2">
    <w:name w:val="heading 2"/>
    <w:basedOn w:val="a"/>
    <w:next w:val="a"/>
    <w:qFormat/>
    <w:rsid w:val="005B2AC5"/>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B2AC5"/>
    <w:rPr>
      <w:rFonts w:ascii="宋体" w:hAnsi="Courier New" w:cs="宋体"/>
      <w:kern w:val="2"/>
      <w:sz w:val="21"/>
      <w:szCs w:val="21"/>
      <w:lang w:eastAsia="zh-CN"/>
    </w:rPr>
  </w:style>
  <w:style w:type="paragraph" w:styleId="a4">
    <w:name w:val="footer"/>
    <w:basedOn w:val="a"/>
    <w:qFormat/>
    <w:rsid w:val="005B2AC5"/>
    <w:pPr>
      <w:tabs>
        <w:tab w:val="center" w:pos="4153"/>
        <w:tab w:val="right" w:pos="8306"/>
      </w:tabs>
      <w:snapToGrid w:val="0"/>
    </w:pPr>
    <w:rPr>
      <w:rFonts w:cs="Times New Roman"/>
      <w:sz w:val="18"/>
      <w:szCs w:val="18"/>
    </w:rPr>
  </w:style>
  <w:style w:type="paragraph" w:styleId="a5">
    <w:name w:val="header"/>
    <w:basedOn w:val="a"/>
    <w:qFormat/>
    <w:rsid w:val="005B2AC5"/>
    <w:pPr>
      <w:pBdr>
        <w:bottom w:val="single" w:sz="6" w:space="1" w:color="auto"/>
      </w:pBdr>
      <w:tabs>
        <w:tab w:val="center" w:pos="4153"/>
        <w:tab w:val="right" w:pos="8306"/>
      </w:tabs>
      <w:snapToGrid w:val="0"/>
      <w:jc w:val="center"/>
    </w:pPr>
    <w:rPr>
      <w:rFonts w:cs="宋体"/>
      <w:sz w:val="18"/>
      <w:szCs w:val="18"/>
    </w:rPr>
  </w:style>
  <w:style w:type="character" w:styleId="a6">
    <w:name w:val="page number"/>
    <w:basedOn w:val="a0"/>
    <w:uiPriority w:val="99"/>
    <w:qFormat/>
    <w:rsid w:val="005B2AC5"/>
    <w:rPr>
      <w:rFonts w:cs="Times New Roman"/>
    </w:rPr>
  </w:style>
  <w:style w:type="paragraph" w:customStyle="1" w:styleId="1">
    <w:name w:val="纯文本1"/>
    <w:basedOn w:val="a"/>
    <w:qFormat/>
    <w:rsid w:val="005B2AC5"/>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0B509-F6DD-4363-8E4C-100B8FAA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837</Words>
  <Characters>4772</Characters>
  <Application>Microsoft Office Word</Application>
  <DocSecurity>0</DocSecurity>
  <Lines>39</Lines>
  <Paragraphs>11</Paragraphs>
  <ScaleCrop>false</ScaleCrop>
  <Company>Microsoft</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孙华</dc:creator>
  <cp:lastModifiedBy>AutoBVT</cp:lastModifiedBy>
  <cp:revision>7</cp:revision>
  <cp:lastPrinted>2021-02-05T08:21:00Z</cp:lastPrinted>
  <dcterms:created xsi:type="dcterms:W3CDTF">2021-02-05T07:30:00Z</dcterms:created>
  <dcterms:modified xsi:type="dcterms:W3CDTF">2021-02-05T08:23:00Z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